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color w:val="auto"/>
          <w:sz w:val="44"/>
          <w:szCs w:val="44"/>
          <w:highlight w:val="none"/>
        </w:rPr>
      </w:pPr>
      <w:r>
        <w:rPr>
          <w:color w:val="auto"/>
          <w:sz w:val="44"/>
          <w:highlight w:val="none"/>
        </w:rPr>
      </w:r>
      <w:r/>
    </w:p>
    <w:p>
      <w:pPr>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rPr>
          <w:rFonts w:hint="eastAsia" w:ascii="华文新魏" w:hAnsi="华文新魏" w:eastAsia="华文新魏" w:cs="华文新魏"/>
          <w:b/>
          <w:color w:val="auto"/>
          <w:sz w:val="116"/>
          <w:szCs w:val="72"/>
          <w:highlight w:val="none"/>
        </w:rPr>
      </w:pPr>
      <w:r>
        <w:rPr>
          <w:rFonts w:hint="eastAsia" w:ascii="华文新魏" w:hAnsi="华文新魏" w:eastAsia="华文新魏" w:cs="华文新魏"/>
          <w:b/>
          <w:color w:val="auto"/>
          <w:sz w:val="116"/>
          <w:szCs w:val="72"/>
          <w:highlight w:val="none"/>
        </w:rPr>
        <w:t xml:space="preserve">竞 争 性 磋 商</w:t>
      </w:r>
      <w:r/>
    </w:p>
    <w:p>
      <w:pPr>
        <w:jc w:val="center"/>
        <w:rPr>
          <w:rFonts w:hint="eastAsia" w:ascii="华文新魏" w:hAnsi="华文新魏" w:eastAsia="华文新魏" w:cs="华文新魏"/>
          <w:b/>
          <w:color w:val="auto"/>
          <w:sz w:val="144"/>
          <w:szCs w:val="72"/>
          <w:highlight w:val="none"/>
        </w:rPr>
      </w:pPr>
      <w:r>
        <w:rPr>
          <w:rFonts w:hint="eastAsia" w:ascii="华文新魏" w:hAnsi="华文新魏" w:eastAsia="华文新魏" w:cs="华文新魏"/>
          <w:b/>
          <w:color w:val="auto"/>
          <w:sz w:val="116"/>
          <w:szCs w:val="72"/>
          <w:highlight w:val="none"/>
        </w:rPr>
        <w:t xml:space="preserve">采 购 文 件</w:t>
      </w:r>
      <w:r/>
    </w:p>
    <w:p>
      <w:pPr>
        <w:rPr>
          <w:rFonts w:hint="eastAsia" w:ascii="宋体" w:hAnsi="宋体"/>
          <w:b/>
          <w:color w:val="auto"/>
          <w:sz w:val="48"/>
          <w:szCs w:val="48"/>
          <w:highlight w:val="none"/>
        </w:rPr>
      </w:pPr>
      <w:r>
        <w:rPr>
          <w:rFonts w:hint="eastAsia" w:ascii="宋体" w:hAnsi="宋体"/>
          <w:b/>
          <w:color w:val="auto"/>
          <w:sz w:val="48"/>
          <w:szCs w:val="48"/>
          <w:highlight w:val="none"/>
        </w:rPr>
      </w:r>
      <w:r/>
    </w:p>
    <w:p>
      <w:pPr>
        <w:pStyle w:val="1041"/>
        <w:rPr>
          <w:rFonts w:hint="eastAsia"/>
          <w:color w:val="auto"/>
          <w:highlight w:val="none"/>
        </w:rPr>
      </w:pPr>
      <w:r>
        <w:rPr>
          <w:rFonts w:hint="eastAsia"/>
          <w:color w:val="auto"/>
          <w:highlight w:val="none"/>
        </w:rPr>
      </w:r>
      <w:r/>
    </w:p>
    <w:p>
      <w:pPr>
        <w:ind w:left="0" w:firstLine="2318"/>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采购编号：</w:t>
      </w:r>
      <w:r>
        <w:rPr>
          <w:rFonts w:hint="eastAsia" w:ascii="宋体" w:hAnsi="宋体"/>
          <w:b/>
          <w:color w:val="auto"/>
          <w:sz w:val="28"/>
          <w:szCs w:val="28"/>
          <w:highlight w:val="none"/>
          <w:lang w:eastAsia="zh-CN"/>
        </w:rPr>
        <w:t xml:space="preserve">JSZC-320506-SZYX-C2026-0014</w:t>
      </w:r>
      <w:r/>
    </w:p>
    <w:p>
      <w:pPr>
        <w:ind w:left="0" w:firstLine="2318"/>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lang w:eastAsia="zh-CN"/>
        </w:rPr>
        <w:t xml:space="preserve">采购人</w:t>
      </w:r>
      <w:r>
        <w:rPr>
          <w:rFonts w:hint="eastAsia" w:ascii="宋体" w:hAnsi="宋体"/>
          <w:b/>
          <w:color w:val="auto"/>
          <w:sz w:val="28"/>
          <w:szCs w:val="28"/>
          <w:highlight w:val="none"/>
        </w:rPr>
        <w:t xml:space="preserve">：</w:t>
      </w:r>
      <w:r>
        <w:rPr>
          <w:rFonts w:hint="eastAsia" w:ascii="宋体" w:hAnsi="宋体"/>
          <w:b/>
          <w:color w:val="auto"/>
          <w:sz w:val="28"/>
          <w:szCs w:val="28"/>
          <w:highlight w:val="none"/>
          <w:lang w:eastAsia="zh-CN"/>
        </w:rPr>
        <w:t xml:space="preserve">苏州市吴中生态环境局</w:t>
      </w:r>
      <w:r/>
    </w:p>
    <w:p>
      <w:pPr>
        <w:ind w:left="0" w:firstLine="2318"/>
        <w:rPr>
          <w:rFonts w:hint="eastAsia" w:ascii="宋体" w:hAnsi="宋体" w:eastAsia="宋体"/>
          <w:color w:val="auto"/>
          <w:sz w:val="28"/>
          <w:szCs w:val="28"/>
          <w:highlight w:val="none"/>
          <w:lang w:eastAsia="zh-CN"/>
        </w:rPr>
      </w:pPr>
      <w:r>
        <w:rPr>
          <w:rFonts w:hint="eastAsia" w:ascii="宋体" w:hAnsi="宋体"/>
          <w:b/>
          <w:color w:val="auto"/>
          <w:sz w:val="28"/>
          <w:szCs w:val="28"/>
          <w:highlight w:val="none"/>
        </w:rPr>
        <w:t xml:space="preserve">采购内容：</w:t>
      </w:r>
      <w:r>
        <w:rPr>
          <w:rFonts w:hint="eastAsia" w:ascii="宋体" w:hAnsi="宋体"/>
          <w:b/>
          <w:color w:val="auto"/>
          <w:sz w:val="28"/>
          <w:szCs w:val="28"/>
          <w:highlight w:val="none"/>
          <w:lang w:eastAsia="zh-CN"/>
        </w:rPr>
        <w:t xml:space="preserve">2026年市控空气自动站运维</w:t>
      </w:r>
      <w:r/>
    </w:p>
    <w:p>
      <w:pPr>
        <w:pStyle w:val="1011"/>
        <w:rPr>
          <w:rFonts w:hint="eastAsia"/>
          <w:color w:val="auto"/>
          <w:highlight w:val="none"/>
        </w:rPr>
      </w:pPr>
      <w:r>
        <w:rPr>
          <w:rFonts w:hint="eastAsia"/>
          <w:color w:val="auto"/>
          <w:highlight w:val="none"/>
        </w:rPr>
      </w:r>
      <w:r/>
    </w:p>
    <w:p>
      <w:pPr>
        <w:pStyle w:val="1011"/>
        <w:rPr>
          <w:rFonts w:hint="eastAsia"/>
          <w:color w:val="auto"/>
          <w:highlight w:val="none"/>
        </w:rPr>
      </w:pPr>
      <w:r>
        <w:rPr>
          <w:rFonts w:hint="eastAsia"/>
          <w:color w:val="auto"/>
          <w:highlight w:val="none"/>
        </w:rPr>
      </w:r>
      <w:r/>
    </w:p>
    <w:p>
      <w:pPr>
        <w:jc w:val="center"/>
        <w:rPr>
          <w:rFonts w:hint="eastAsia" w:ascii="宋体" w:hAnsi="宋体"/>
          <w:color w:val="auto"/>
          <w:sz w:val="28"/>
          <w:szCs w:val="28"/>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2009775" cy="18288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2009775" cy="182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2pt;height:144.0pt;mso-wrap-distance-left:0.0pt;mso-wrap-distance-top:0.0pt;mso-wrap-distance-right:0.0pt;mso-wrap-distance-bottom:0.0pt;" stroked="f">
                <v:path textboxrect="0,0,0,0"/>
                <v:imagedata r:id="rId13" o:title=""/>
              </v:shape>
            </w:pict>
          </mc:Fallback>
        </mc:AlternateContent>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pStyle w:val="1041"/>
        <w:rPr>
          <w:rFonts w:hint="eastAsia"/>
          <w:color w:val="auto"/>
          <w:highlight w:val="none"/>
        </w:rPr>
      </w:pPr>
      <w:r>
        <w:rPr>
          <w:rFonts w:hint="eastAsia"/>
          <w:color w:val="auto"/>
          <w:highlight w:val="none"/>
        </w:rPr>
      </w:r>
      <w:r/>
    </w:p>
    <w:p>
      <w:pPr>
        <w:jc w:val="center"/>
        <w:rPr>
          <w:rFonts w:hint="eastAsia" w:ascii="宋体" w:hAnsi="宋体"/>
          <w:b/>
          <w:color w:val="auto"/>
          <w:sz w:val="32"/>
          <w:szCs w:val="28"/>
          <w:highlight w:val="none"/>
        </w:rPr>
      </w:pPr>
      <w:r>
        <w:rPr>
          <w:rFonts w:hint="eastAsia" w:ascii="宋体" w:hAnsi="宋体"/>
          <w:b/>
          <w:color w:val="auto"/>
          <w:sz w:val="32"/>
          <w:szCs w:val="28"/>
          <w:highlight w:val="none"/>
        </w:rPr>
        <w:t xml:space="preserve">苏州市原鑫招投标咨询服务有限公司</w:t>
      </w:r>
      <w:r/>
    </w:p>
    <w:p>
      <w:pPr>
        <w:jc w:val="center"/>
        <w:rPr>
          <w:rFonts w:hint="eastAsia" w:ascii="宋体" w:hAnsi="宋体"/>
          <w:b/>
          <w:color w:val="auto"/>
          <w:sz w:val="32"/>
          <w:szCs w:val="28"/>
          <w:highlight w:val="none"/>
        </w:rPr>
      </w:pPr>
      <w:r>
        <w:rPr>
          <w:rFonts w:hint="eastAsia" w:ascii="宋体" w:hAnsi="宋体"/>
          <w:b/>
          <w:color w:val="auto"/>
          <w:sz w:val="32"/>
          <w:szCs w:val="28"/>
          <w:highlight w:val="none"/>
        </w:rPr>
        <w:t xml:space="preserve">二〇二</w:t>
      </w:r>
      <w:r>
        <w:rPr>
          <w:rFonts w:hint="eastAsia" w:ascii="宋体" w:hAnsi="宋体"/>
          <w:b/>
          <w:color w:val="auto"/>
          <w:sz w:val="32"/>
          <w:szCs w:val="28"/>
          <w:highlight w:val="none"/>
          <w:lang w:val="en-US" w:eastAsia="zh-CN"/>
        </w:rPr>
        <w:t xml:space="preserve">六</w:t>
      </w:r>
      <w:r>
        <w:rPr>
          <w:rFonts w:hint="eastAsia" w:ascii="宋体" w:hAnsi="宋体"/>
          <w:b/>
          <w:color w:val="auto"/>
          <w:sz w:val="32"/>
          <w:szCs w:val="28"/>
          <w:highlight w:val="none"/>
        </w:rPr>
        <w:t xml:space="preserve">年</w:t>
      </w:r>
      <w:r>
        <w:rPr>
          <w:rFonts w:hint="eastAsia" w:ascii="宋体" w:hAnsi="宋体"/>
          <w:b/>
          <w:color w:val="auto"/>
          <w:sz w:val="32"/>
          <w:szCs w:val="28"/>
          <w:highlight w:val="none"/>
          <w:lang w:val="en-US" w:eastAsia="zh-CN"/>
        </w:rPr>
        <w:t xml:space="preserve">四</w:t>
      </w:r>
      <w:r>
        <w:rPr>
          <w:rFonts w:hint="eastAsia" w:ascii="宋体" w:hAnsi="宋体"/>
          <w:b/>
          <w:color w:val="auto"/>
          <w:sz w:val="32"/>
          <w:szCs w:val="28"/>
          <w:highlight w:val="none"/>
        </w:rPr>
        <w:t xml:space="preserve">月</w:t>
      </w:r>
      <w:r/>
    </w:p>
    <w:p>
      <w:pPr>
        <w:jc w:val="center"/>
        <w:rPr>
          <w:b/>
          <w:color w:val="auto"/>
          <w:sz w:val="32"/>
          <w:szCs w:val="32"/>
          <w:highlight w:val="none"/>
        </w:rPr>
      </w:pPr>
      <w:r>
        <w:rPr>
          <w:rFonts w:ascii="宋体" w:hAnsi="宋体"/>
          <w:b/>
          <w:color w:val="auto"/>
          <w:sz w:val="32"/>
          <w:highlight w:val="none"/>
        </w:rPr>
        <w:br w:type="page" w:clear="all"/>
      </w:r>
      <w:r>
        <w:rPr>
          <w:rFonts w:hint="eastAsia"/>
          <w:b/>
          <w:color w:val="auto"/>
          <w:sz w:val="32"/>
          <w:szCs w:val="32"/>
          <w:highlight w:val="none"/>
        </w:rPr>
        <w:t xml:space="preserve">一、</w:t>
      </w:r>
      <w:r>
        <w:rPr>
          <w:rFonts w:hint="eastAsia" w:ascii="宋体" w:hAnsi="宋体"/>
          <w:b/>
          <w:color w:val="auto"/>
          <w:sz w:val="32"/>
          <w:highlight w:val="none"/>
        </w:rPr>
        <w:t xml:space="preserve">竞争性磋商公告</w:t>
      </w:r>
      <w:r/>
    </w:p>
    <w:tbl>
      <w:tblPr>
        <w:tblStyle w:val="984"/>
        <w:tblW w:w="9889" w:type="dxa"/>
        <w:jc w:val="center"/>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u w:val="single"/>
                <w:lang w:eastAsia="zh-CN"/>
              </w:rPr>
              <w:t xml:space="preserve">2026年市控空气自动站运维</w:t>
            </w:r>
            <w:r>
              <w:rPr>
                <w:rFonts w:hint="eastAsia" w:ascii="宋体" w:hAnsi="宋体" w:cs="宋体"/>
                <w:color w:val="auto"/>
                <w:szCs w:val="21"/>
                <w:highlight w:val="none"/>
              </w:rPr>
              <w:t xml:space="preserve">项目的潜在供应商应在</w:t>
            </w:r>
            <w:r>
              <w:rPr>
                <w:rFonts w:hint="eastAsia" w:ascii="宋体" w:hAnsi="宋体" w:cs="宋体"/>
                <w:color w:val="auto"/>
                <w:szCs w:val="21"/>
                <w:highlight w:val="none"/>
                <w:u w:val="single"/>
              </w:rPr>
              <w:t xml:space="preserve">江苏省政府采购一体化平台“苏采云”系统</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lang w:eastAsia="zh-CN"/>
              </w:rPr>
              <w:t xml:space="preserve">2026年4月</w:t>
            </w:r>
            <w:r>
              <w:rPr>
                <w:rFonts w:hint="eastAsia" w:ascii="宋体" w:hAnsi="宋体" w:cs="宋体"/>
                <w:color w:val="auto"/>
                <w:szCs w:val="21"/>
                <w:highlight w:val="none"/>
                <w:u w:val="single"/>
                <w:lang w:val="en-US" w:eastAsia="zh-CN"/>
              </w:rPr>
              <w:t xml:space="preserve">27</w:t>
            </w:r>
            <w:r>
              <w:rPr>
                <w:rFonts w:hint="eastAsia" w:ascii="宋体" w:hAnsi="宋体" w:cs="宋体"/>
                <w:color w:val="auto"/>
                <w:szCs w:val="21"/>
                <w:highlight w:val="none"/>
                <w:u w:val="single"/>
                <w:lang w:eastAsia="zh-CN"/>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lang w:eastAsia="zh-CN"/>
              </w:rPr>
              <w:t xml:space="preserve">：30</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tc>
      </w:tr>
    </w:tbl>
    <w:p>
      <w:pPr>
        <w:numPr>
          <w:ilvl w:val="0"/>
          <w:numId w:val="5"/>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项目基本情况</w:t>
      </w:r>
      <w:r/>
    </w:p>
    <w:p>
      <w:pPr>
        <w:numPr>
          <w:ilvl w:val="0"/>
          <w:numId w:val="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eastAsia="zh-CN"/>
        </w:rPr>
        <w:t xml:space="preserve">JSZC-320506-SZYX-C2026-0014</w:t>
      </w:r>
      <w:r/>
    </w:p>
    <w:p>
      <w:pPr>
        <w:numPr>
          <w:ilvl w:val="0"/>
          <w:numId w:val="6"/>
        </w:numPr>
        <w:jc w:val="left"/>
        <w:spacing w:line="400" w:lineRule="exact"/>
        <w:widowControl/>
        <w:rPr>
          <w:rFonts w:hint="eastAsia" w:ascii="宋体" w:hAnsi="宋体" w:eastAsia="宋体" w:cs="宋体"/>
          <w:color w:val="auto"/>
          <w:sz w:val="21"/>
          <w:szCs w:val="21"/>
          <w:highlight w:val="none"/>
          <w:lang w:val="en-US" w:eastAsia="zh-CN"/>
        </w:rPr>
      </w:pPr>
      <w:r/>
      <w:bookmarkStart w:id="0" w:name="OLE_LINK1"/>
      <w:r>
        <w:rPr>
          <w:rFonts w:hint="eastAsia" w:ascii="宋体" w:hAnsi="宋体" w:eastAsia="宋体" w:cs="宋体"/>
          <w:color w:val="auto"/>
          <w:szCs w:val="21"/>
          <w:highlight w:val="none"/>
        </w:rPr>
        <w:t xml:space="preserve">项目</w:t>
      </w:r>
      <w:r>
        <w:rPr>
          <w:rFonts w:hint="eastAsia" w:ascii="宋体" w:hAnsi="宋体" w:eastAsia="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2026年市控空气自动站运维</w:t>
      </w:r>
      <w:r/>
    </w:p>
    <w:p>
      <w:pPr>
        <w:numPr>
          <w:ilvl w:val="0"/>
          <w:numId w:val="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采购方式：竞争性磋商</w:t>
      </w:r>
      <w:r/>
    </w:p>
    <w:p>
      <w:pPr>
        <w:numPr>
          <w:ilvl w:val="0"/>
          <w:numId w:val="6"/>
        </w:numPr>
        <w:jc w:val="left"/>
        <w:spacing w:line="400" w:lineRule="exact"/>
        <w:widowControl/>
        <w:rPr>
          <w:rFonts w:hint="default" w:ascii="宋体" w:hAnsi="宋体" w:eastAsia="宋体" w:cs="宋体"/>
          <w:color w:val="auto"/>
          <w:sz w:val="21"/>
          <w:szCs w:val="21"/>
          <w:highlight w:val="none"/>
          <w:lang w:val="en-US" w:eastAsia="zh-CN"/>
        </w:rPr>
      </w:pPr>
      <w:r/>
      <w:bookmarkStart w:id="1" w:name="OLE_LINK14"/>
      <w:r>
        <w:rPr>
          <w:rFonts w:hint="eastAsia" w:ascii="宋体" w:hAnsi="宋体" w:eastAsia="宋体" w:cs="宋体"/>
          <w:color w:val="auto"/>
          <w:szCs w:val="21"/>
          <w:highlight w:val="none"/>
        </w:rPr>
        <w:t xml:space="preserve">预算</w:t>
      </w:r>
      <w:r>
        <w:rPr>
          <w:rFonts w:hint="eastAsia" w:ascii="宋体" w:hAnsi="宋体" w:eastAsia="宋体" w:cs="宋体"/>
          <w:color w:val="auto"/>
          <w:sz w:val="21"/>
          <w:szCs w:val="21"/>
          <w:highlight w:val="none"/>
        </w:rPr>
        <w:t xml:space="preserve">金额：</w:t>
      </w:r>
      <w:bookmarkStart w:id="2" w:name="_Hlk165988500"/>
      <w:r>
        <w:rPr>
          <w:rFonts w:hint="eastAsia" w:ascii="宋体" w:hAnsi="宋体" w:cs="宋体"/>
          <w:color w:val="auto"/>
          <w:sz w:val="21"/>
          <w:szCs w:val="21"/>
          <w:highlight w:val="none"/>
          <w:lang w:eastAsia="zh-CN"/>
        </w:rPr>
        <w:t xml:space="preserve">人民币壹佰陆拾玖万元整（￥1690000.00）</w:t>
      </w:r>
      <w:bookmarkEnd w:id="2"/>
      <w:r/>
      <w:r/>
    </w:p>
    <w:p>
      <w:pPr>
        <w:numPr>
          <w:ilvl w:val="0"/>
          <w:numId w:val="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w:t>
      </w:r>
      <w:r>
        <w:rPr>
          <w:rFonts w:hint="eastAsia" w:ascii="宋体" w:hAnsi="宋体" w:eastAsia="宋体" w:cs="宋体"/>
          <w:color w:val="auto"/>
          <w:szCs w:val="21"/>
          <w:highlight w:val="none"/>
        </w:rPr>
        <w:t xml:space="preserve">限价：</w:t>
      </w:r>
      <w:r>
        <w:rPr>
          <w:rFonts w:hint="eastAsia" w:ascii="宋体" w:hAnsi="宋体" w:cs="宋体"/>
          <w:color w:val="auto"/>
          <w:szCs w:val="21"/>
          <w:highlight w:val="none"/>
          <w:lang w:eastAsia="zh-CN"/>
        </w:rPr>
        <w:t xml:space="preserve">无</w:t>
      </w:r>
      <w:bookmarkEnd w:id="0"/>
      <w:r/>
      <w:bookmarkEnd w:id="1"/>
      <w:r/>
      <w:r/>
    </w:p>
    <w:p>
      <w:pPr>
        <w:numPr>
          <w:ilvl w:val="0"/>
          <w:numId w:val="6"/>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采购需求：</w:t>
      </w:r>
      <w:r/>
    </w:p>
    <w:p>
      <w:pPr>
        <w:numPr>
          <w:ilvl w:val="0"/>
          <w:numId w:val="7"/>
        </w:numPr>
        <w:spacing w:line="400" w:lineRule="exact"/>
        <w:rPr>
          <w:rFonts w:hint="eastAsia" w:ascii="宋体" w:hAnsi="宋体" w:cs="宋体"/>
          <w:color w:val="auto"/>
          <w:szCs w:val="21"/>
          <w:highlight w:val="none"/>
        </w:rPr>
      </w:pPr>
      <w:r/>
      <w:bookmarkStart w:id="3" w:name="OLE_LINK2"/>
      <w:r>
        <w:rPr>
          <w:rFonts w:hint="eastAsia" w:ascii="宋体" w:hAnsi="宋体" w:cs="宋体"/>
          <w:color w:val="auto"/>
          <w:szCs w:val="21"/>
          <w:highlight w:val="none"/>
        </w:rPr>
        <w:t xml:space="preserve">服务内容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本项目为确保苏州市吴中区12个市控环境空气自动监测站系统正常运行，提高数据质量，强化子站管理，发挥其应有的评价、预警等作用，对上述站点进行全托管运维服务，并开展13个点位每月一次的降尘监测服务（木渎高级中学仅开展降尘监测）；并根据现场大气管控服务需求，提供12次VOCs走航监测服务、12次空气六参数走航任务，以上服务每次走航时间1天，走航范围及具体项目根据采购方需求设定；确保站点满足自动监测站点防人为干扰的基础保障要求。</w:t>
      </w:r>
      <w:r/>
    </w:p>
    <w:p>
      <w:pPr>
        <w:numPr>
          <w:ilvl w:val="0"/>
          <w:numId w:val="7"/>
        </w:numPr>
        <w:spacing w:line="400" w:lineRule="exact"/>
        <w:rPr>
          <w:rFonts w:hint="eastAsia" w:ascii="宋体" w:hAnsi="宋体" w:cs="宋体"/>
          <w:color w:val="auto"/>
          <w:szCs w:val="21"/>
          <w:highlight w:val="none"/>
        </w:rPr>
      </w:pPr>
      <w:r>
        <w:rPr>
          <w:rFonts w:hint="eastAsia" w:ascii="宋体" w:hAnsi="宋体" w:cs="宋体"/>
          <w:color w:val="auto"/>
          <w:highlight w:val="none"/>
        </w:rPr>
        <w:t xml:space="preserve">合同履约期限：</w:t>
      </w:r>
      <w:bookmarkStart w:id="4" w:name="OLE_LINK15"/>
      <w:r/>
      <w:bookmarkStart w:id="5" w:name="OLE_LINK23"/>
      <w:r>
        <w:rPr>
          <w:rFonts w:hint="eastAsia" w:ascii="宋体" w:hAnsi="宋体" w:cs="宋体"/>
          <w:color w:val="auto"/>
          <w:szCs w:val="21"/>
          <w:highlight w:val="none"/>
          <w:lang w:val="en-US" w:eastAsia="zh-CN"/>
        </w:rPr>
        <w:t xml:space="preserve">12个月</w:t>
      </w:r>
      <w:r>
        <w:rPr>
          <w:rFonts w:hint="eastAsia" w:ascii="宋体" w:hAnsi="宋体" w:cs="宋体"/>
          <w:color w:val="auto"/>
          <w:szCs w:val="21"/>
          <w:highlight w:val="none"/>
        </w:rPr>
        <w:t xml:space="preserve">。</w:t>
      </w:r>
      <w:bookmarkEnd w:id="4"/>
      <w:r/>
      <w:bookmarkEnd w:id="3"/>
      <w:r/>
      <w:bookmarkEnd w:id="5"/>
      <w:r/>
      <w:r/>
    </w:p>
    <w:p>
      <w:pPr>
        <w:numPr>
          <w:ilvl w:val="0"/>
          <w:numId w:val="6"/>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w:t>
      </w:r>
      <w:r>
        <w:rPr>
          <w:rFonts w:hint="eastAsia" w:ascii="宋体" w:hAnsi="宋体" w:cs="宋体"/>
          <w:color w:val="auto"/>
          <w:szCs w:val="21"/>
          <w:highlight w:val="none"/>
        </w:rPr>
        <w:t xml:space="preserve">项目</w:t>
      </w:r>
      <w:r>
        <w:rPr>
          <w:rFonts w:hint="eastAsia" w:ascii="宋体" w:hAnsi="宋体" w:cs="宋体"/>
          <w:color w:val="auto"/>
          <w:szCs w:val="21"/>
          <w:highlight w:val="none"/>
        </w:rPr>
        <w:t xml:space="preserve">不接受联合体投标。</w:t>
      </w:r>
      <w:r/>
    </w:p>
    <w:p>
      <w:pPr>
        <w:numPr>
          <w:ilvl w:val="0"/>
          <w:numId w:val="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申请人的资格要求：</w:t>
      </w:r>
      <w:r/>
    </w:p>
    <w:p>
      <w:pPr>
        <w:numPr>
          <w:ilvl w:val="0"/>
          <w:numId w:val="8"/>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具有独立承担民事责任的能力；</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具有良好的商业信誉和健全的财务会计制度；</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具有履行合同所必需的设备和专业技术能力；</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有依法缴纳税收和社会保障资金的良好记录；</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参加政府采购活动前三年内，在经营活动中没有出现重大违法记录；</w:t>
      </w:r>
      <w:r/>
    </w:p>
    <w:p>
      <w:pPr>
        <w:numPr>
          <w:ilvl w:val="0"/>
          <w:numId w:val="9"/>
        </w:numP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法律、行政法规规</w:t>
      </w:r>
      <w:r>
        <w:rPr>
          <w:rFonts w:hint="eastAsia" w:ascii="宋体" w:hAnsi="宋体" w:cs="宋体"/>
          <w:color w:val="auto"/>
          <w:szCs w:val="21"/>
          <w:highlight w:val="none"/>
        </w:rPr>
        <w:t xml:space="preserve">定的其他条件。</w:t>
      </w:r>
      <w:r/>
    </w:p>
    <w:p>
      <w:pPr>
        <w:numPr>
          <w:ilvl w:val="0"/>
          <w:numId w:val="8"/>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p>
      <w:pPr>
        <w:numPr>
          <w:ilvl w:val="0"/>
          <w:numId w:val="10"/>
        </w:numPr>
        <w:spacing w:line="400" w:lineRule="exact"/>
        <w:rPr>
          <w:rFonts w:hint="eastAsia" w:ascii="宋体" w:hAnsi="宋体" w:cs="宋体"/>
          <w:color w:val="auto"/>
          <w:szCs w:val="21"/>
          <w:highlight w:val="none"/>
        </w:rPr>
      </w:pPr>
      <w:r/>
      <w:bookmarkStart w:id="6" w:name="OLE_LINK5"/>
      <w:r>
        <w:rPr>
          <w:rFonts w:hint="eastAsia" w:ascii="宋体" w:hAnsi="宋体"/>
          <w:color w:val="auto"/>
          <w:szCs w:val="21"/>
          <w:highlight w:val="none"/>
        </w:rPr>
        <w:t xml:space="preserve">本项目专门面向中小微企业采购，本项目属其他未列明行业</w:t>
      </w:r>
      <w:r>
        <w:rPr>
          <w:rFonts w:hint="eastAsia" w:ascii="宋体" w:hAnsi="宋体"/>
          <w:color w:val="auto"/>
          <w:szCs w:val="21"/>
          <w:highlight w:val="none"/>
          <w:lang w:eastAsia="zh-CN"/>
        </w:rPr>
        <w:t xml:space="preserve">。</w:t>
      </w:r>
      <w:r>
        <w:rPr>
          <w:rFonts w:hint="eastAsia" w:ascii="宋体" w:hAnsi="宋体" w:cs="宋体"/>
          <w:color w:val="auto"/>
          <w:szCs w:val="21"/>
          <w:highlight w:val="none"/>
        </w:rPr>
        <w:t xml:space="preserve">供应商须提供中小企业声明函或残疾人福利性单位声明函或省级以上监狱管理局、戒毒管理局（含新疆生产建设兵团）出具的属于监狱企业的证明文件。</w:t>
      </w:r>
      <w:bookmarkEnd w:id="6"/>
      <w:r/>
      <w:r/>
    </w:p>
    <w:p>
      <w:pPr>
        <w:numPr>
          <w:ilvl w:val="0"/>
          <w:numId w:val="8"/>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p>
      <w:pPr>
        <w:numPr>
          <w:ilvl w:val="0"/>
          <w:numId w:val="11"/>
        </w:numPr>
        <w:spacing w:line="400" w:lineRule="exact"/>
        <w:rPr>
          <w:rFonts w:hint="eastAsia" w:ascii="宋体" w:hAnsi="宋体"/>
          <w:color w:val="auto"/>
          <w:szCs w:val="21"/>
          <w:highlight w:val="none"/>
        </w:rPr>
      </w:pPr>
      <w:r/>
      <w:bookmarkStart w:id="7" w:name="OLE_LINK4"/>
      <w:r/>
      <w:bookmarkStart w:id="8" w:name="OLE_LINK6"/>
      <w:r>
        <w:rPr>
          <w:rFonts w:hint="eastAsia" w:ascii="宋体" w:hAnsi="宋体" w:cs="宋体"/>
          <w:color w:val="auto"/>
          <w:szCs w:val="21"/>
          <w:highlight w:val="none"/>
        </w:rPr>
        <w:t xml:space="preserve">未被列入失信被执行人、重</w:t>
      </w:r>
      <w:r>
        <w:rPr>
          <w:rFonts w:hint="eastAsia" w:ascii="宋体" w:hAnsi="宋体"/>
          <w:color w:val="auto"/>
          <w:szCs w:val="21"/>
          <w:highlight w:val="none"/>
        </w:rPr>
        <w:t xml:space="preserve">大税收违法案件当事人名单、政府采购严重失信行为记录名单</w:t>
      </w:r>
      <w:bookmarkEnd w:id="7"/>
      <w:r>
        <w:rPr>
          <w:rFonts w:hint="eastAsia" w:ascii="宋体" w:hAnsi="宋体"/>
          <w:color w:val="auto"/>
          <w:szCs w:val="21"/>
          <w:highlight w:val="none"/>
        </w:rPr>
        <w:t xml:space="preserve">；</w:t>
      </w:r>
      <w:bookmarkEnd w:id="8"/>
      <w:r/>
      <w:r/>
    </w:p>
    <w:p>
      <w:pPr>
        <w:numPr>
          <w:ilvl w:val="0"/>
          <w:numId w:val="11"/>
        </w:numPr>
        <w:spacing w:line="400" w:lineRule="exact"/>
        <w:rPr>
          <w:rFonts w:hint="eastAsia" w:ascii="宋体" w:hAnsi="宋体" w:cs="宋体"/>
          <w:color w:val="auto"/>
          <w:szCs w:val="21"/>
          <w:highlight w:val="none"/>
        </w:rPr>
      </w:pPr>
      <w:r/>
      <w:bookmarkStart w:id="9" w:name="OLE_LINK8"/>
      <w:r>
        <w:rPr>
          <w:rFonts w:hint="eastAsia" w:ascii="宋体" w:hAnsi="宋体"/>
          <w:color w:val="auto"/>
          <w:szCs w:val="21"/>
          <w:highlight w:val="none"/>
        </w:rPr>
        <w:t xml:space="preserve">单位负责人为同一人或者存在直</w:t>
      </w:r>
      <w:r>
        <w:rPr>
          <w:rFonts w:hint="eastAsia" w:ascii="宋体" w:hAnsi="宋体" w:cs="宋体"/>
          <w:color w:val="auto"/>
          <w:szCs w:val="21"/>
          <w:highlight w:val="none"/>
        </w:rPr>
        <w:t xml:space="preserve">接控股、管理关系的不同供应商（包含法定代表人为同一个人的两个及两个以上法人，母公司、全资子公司及其控股公司），不得参加同一合同项下的政府采购活动</w:t>
      </w:r>
      <w:bookmarkEnd w:id="9"/>
      <w:r>
        <w:rPr>
          <w:rFonts w:hint="eastAsia" w:ascii="宋体" w:hAnsi="宋体" w:cs="宋体"/>
          <w:color w:val="auto"/>
          <w:szCs w:val="21"/>
          <w:highlight w:val="none"/>
        </w:rPr>
        <w:t xml:space="preserve">。</w:t>
      </w:r>
      <w:r/>
    </w:p>
    <w:p>
      <w:pPr>
        <w:numPr>
          <w:ilvl w:val="0"/>
          <w:numId w:val="5"/>
        </w:numPr>
        <w:jc w:val="left"/>
        <w:spacing w:line="400" w:lineRule="exact"/>
        <w:widowControl/>
        <w:rPr>
          <w:rFonts w:hint="eastAsia" w:ascii="宋体" w:hAnsi="宋体" w:cs="宋体"/>
          <w:color w:val="auto"/>
          <w:szCs w:val="21"/>
          <w:highlight w:val="none"/>
        </w:rPr>
      </w:pPr>
      <w:r/>
      <w:bookmarkStart w:id="10" w:name="OLE_LINK10"/>
      <w:r>
        <w:rPr>
          <w:rFonts w:hint="eastAsia" w:ascii="宋体" w:hAnsi="宋体" w:cs="宋体"/>
          <w:color w:val="auto"/>
          <w:szCs w:val="21"/>
          <w:highlight w:val="none"/>
        </w:rPr>
        <w:t xml:space="preserve">获取采购文件</w:t>
      </w:r>
      <w:bookmarkEnd w:id="10"/>
      <w:r/>
      <w:r/>
    </w:p>
    <w:p>
      <w:pPr>
        <w:numPr>
          <w:ilvl w:val="0"/>
          <w:numId w:val="12"/>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val="en-US" w:eastAsia="zh-CN"/>
        </w:rPr>
        <w:t xml:space="preserve">本公告发布之日起五个工作日</w:t>
      </w:r>
      <w:r/>
    </w:p>
    <w:p>
      <w:pPr>
        <w:numPr>
          <w:ilvl w:val="0"/>
          <w:numId w:val="12"/>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地点：江苏省政府采购一体化平台“苏采云”系统自行下载</w:t>
      </w:r>
      <w:r/>
    </w:p>
    <w:p>
      <w:pPr>
        <w:numPr>
          <w:ilvl w:val="0"/>
          <w:numId w:val="12"/>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方式：登录江苏省政府采购一体化平台“苏采云”系统，确认参与项目后自行下载</w:t>
      </w:r>
      <w:r/>
    </w:p>
    <w:p>
      <w:pPr>
        <w:numPr>
          <w:ilvl w:val="0"/>
          <w:numId w:val="12"/>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售价：免费</w:t>
      </w:r>
      <w:r/>
    </w:p>
    <w:p>
      <w:pPr>
        <w:numPr>
          <w:ilvl w:val="0"/>
          <w:numId w:val="5"/>
        </w:numPr>
        <w:jc w:val="left"/>
        <w:spacing w:line="400" w:lineRule="exact"/>
        <w:widowControl/>
        <w:rPr>
          <w:rFonts w:hint="eastAsia" w:ascii="宋体" w:hAnsi="宋体" w:cs="宋体"/>
          <w:color w:val="auto"/>
          <w:szCs w:val="21"/>
          <w:highlight w:val="none"/>
        </w:rPr>
      </w:pPr>
      <w:r/>
      <w:bookmarkStart w:id="11" w:name="OLE_LINK11"/>
      <w:r>
        <w:rPr>
          <w:rFonts w:hint="eastAsia" w:ascii="宋体" w:hAnsi="宋体" w:cs="宋体"/>
          <w:color w:val="auto"/>
          <w:szCs w:val="21"/>
          <w:highlight w:val="none"/>
        </w:rPr>
        <w:t xml:space="preserve">响应文件提交</w:t>
      </w:r>
      <w:bookmarkEnd w:id="11"/>
      <w:r/>
      <w:r/>
    </w:p>
    <w:p>
      <w:pPr>
        <w:numPr>
          <w:ilvl w:val="0"/>
          <w:numId w:val="13"/>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截止时间：</w:t>
      </w:r>
      <w:r>
        <w:rPr>
          <w:rFonts w:hint="eastAsia" w:ascii="宋体" w:hAnsi="宋体" w:cs="宋体"/>
          <w:color w:val="auto"/>
          <w:szCs w:val="21"/>
          <w:highlight w:val="none"/>
          <w:lang w:eastAsia="zh-CN"/>
        </w:rPr>
        <w:t xml:space="preserve">2026年4月</w:t>
      </w: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w:t>
      </w:r>
      <w:r/>
    </w:p>
    <w:p>
      <w:pPr>
        <w:numPr>
          <w:ilvl w:val="0"/>
          <w:numId w:val="13"/>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地点：苏采云系统（网址：http://jszfcg.jsczt.cn/）。</w:t>
      </w:r>
      <w:r/>
    </w:p>
    <w:p>
      <w:pPr>
        <w:numPr>
          <w:ilvl w:val="0"/>
          <w:numId w:val="5"/>
        </w:numPr>
        <w:jc w:val="left"/>
        <w:spacing w:line="400" w:lineRule="exact"/>
        <w:widowControl/>
        <w:rPr>
          <w:rFonts w:hint="eastAsia" w:ascii="宋体" w:hAnsi="宋体" w:cs="宋体"/>
          <w:color w:val="auto"/>
          <w:szCs w:val="21"/>
          <w:highlight w:val="none"/>
        </w:rPr>
      </w:pPr>
      <w:r/>
      <w:bookmarkStart w:id="12" w:name="OLE_LINK12"/>
      <w:r>
        <w:rPr>
          <w:rFonts w:hint="eastAsia" w:ascii="宋体" w:hAnsi="宋体" w:cs="宋体"/>
          <w:color w:val="auto"/>
          <w:szCs w:val="21"/>
          <w:highlight w:val="none"/>
        </w:rPr>
        <w:t xml:space="preserve">开启</w:t>
      </w:r>
      <w:bookmarkEnd w:id="12"/>
      <w:r/>
      <w:r/>
    </w:p>
    <w:p>
      <w:pPr>
        <w:numPr>
          <w:ilvl w:val="0"/>
          <w:numId w:val="14"/>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2026年4月</w:t>
      </w: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w:t>
      </w:r>
      <w:r/>
    </w:p>
    <w:p>
      <w:pPr>
        <w:numPr>
          <w:ilvl w:val="0"/>
          <w:numId w:val="14"/>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地点：苏采云系统（网址：http://jszfcg.jsczt.cn/）。</w:t>
      </w:r>
      <w:r/>
    </w:p>
    <w:p>
      <w:pPr>
        <w:numPr>
          <w:ilvl w:val="0"/>
          <w:numId w:val="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公告期限：自本公告发布之日起3个工作日。</w:t>
      </w:r>
      <w:r/>
    </w:p>
    <w:p>
      <w:pPr>
        <w:numPr>
          <w:ilvl w:val="0"/>
          <w:numId w:val="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其他相关事宜：</w:t>
      </w:r>
      <w:r/>
    </w:p>
    <w:p>
      <w:pPr>
        <w:numPr>
          <w:ilvl w:val="0"/>
          <w:numId w:val="15"/>
        </w:numPr>
        <w:jc w:val="left"/>
        <w:spacing w:line="400" w:lineRule="exact"/>
        <w:widowControl/>
        <w:rPr>
          <w:rFonts w:hint="eastAsia" w:ascii="宋体" w:hAnsi="宋体" w:cs="宋体"/>
          <w:color w:val="auto"/>
          <w:szCs w:val="21"/>
          <w:highlight w:val="none"/>
        </w:rPr>
      </w:pPr>
      <w:r/>
      <w:bookmarkStart w:id="13" w:name="OLE_LINK16"/>
      <w:r/>
      <w:bookmarkStart w:id="14" w:name="OLE_LINK24"/>
      <w:r>
        <w:rPr>
          <w:rFonts w:hint="eastAsia" w:ascii="宋体" w:hAnsi="宋体" w:cs="宋体"/>
          <w:color w:val="auto"/>
          <w:szCs w:val="21"/>
          <w:highlight w:val="none"/>
        </w:rPr>
        <w:t xml:space="preserve">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color w:val="auto"/>
          <w:szCs w:val="21"/>
          <w:highlight w:val="none"/>
          <w:shd w:val="clear" w:color="auto" w:fill="auto"/>
        </w:rPr>
        <w:t xml:space="preserve">苏州现场办理地址：苏州市高新区邓尉路105号狮山科技馆1楼服务大厅，咨询电话：0512-69820834</w:t>
      </w:r>
      <w:r>
        <w:rPr>
          <w:rFonts w:hint="eastAsia" w:ascii="宋体" w:hAnsi="宋体" w:cs="宋体"/>
          <w:color w:val="auto"/>
          <w:szCs w:val="21"/>
          <w:highlight w:val="none"/>
        </w:rPr>
        <w:t xml:space="preserve">。</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技术服务咨询电话：CA技术咨询电话：400-608-6099；电子签章技术咨询电话：025-83633811、025-83633812、15380932027、15371015030；系统使用指导与咨询电话：18261002950（不见面项目）QQ：3048755361、895706745。</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线上参加开标（开启）会方式：供应商登录“苏采云”系统，点击“开标大厅”，选择对应项目，点击进入不见面开标系统。</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请供应商确保电脑、系统及其他设备（视频输入输出设备等）无误，且开启直至项目结束始终保持系统在线状态。</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本公告同时在江苏省政府采购网、苏州市政府采购网上发布。</w:t>
      </w:r>
      <w:bookmarkEnd w:id="13"/>
      <w:r/>
      <w:bookmarkEnd w:id="14"/>
      <w:r/>
      <w:r/>
    </w:p>
    <w:p>
      <w:pPr>
        <w:numPr>
          <w:ilvl w:val="0"/>
          <w:numId w:val="5"/>
        </w:numPr>
        <w:jc w:val="left"/>
        <w:spacing w:line="400" w:lineRule="exact"/>
        <w:widowControl/>
        <w:rPr>
          <w:rFonts w:hint="eastAsia" w:ascii="宋体" w:hAnsi="宋体" w:eastAsia="宋体" w:cs="宋体"/>
          <w:color w:val="auto"/>
          <w:szCs w:val="21"/>
          <w:highlight w:val="none"/>
        </w:rPr>
      </w:pPr>
      <w:r>
        <w:rPr>
          <w:rFonts w:hint="eastAsia" w:ascii="宋体" w:hAnsi="宋体" w:cs="宋体"/>
          <w:color w:val="auto"/>
          <w:szCs w:val="21"/>
          <w:highlight w:val="none"/>
        </w:rPr>
        <w:t xml:space="preserve">对</w:t>
      </w:r>
      <w:r>
        <w:rPr>
          <w:rFonts w:hint="eastAsia" w:ascii="宋体" w:hAnsi="宋体" w:eastAsia="宋体" w:cs="宋体"/>
          <w:color w:val="auto"/>
          <w:szCs w:val="21"/>
          <w:highlight w:val="none"/>
        </w:rPr>
        <w:t xml:space="preserve">本次采购提出询问，请按以下方式联系：</w:t>
      </w:r>
      <w:r/>
    </w:p>
    <w:p>
      <w:pPr>
        <w:numPr>
          <w:ilvl w:val="0"/>
          <w:numId w:val="1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采购人信息</w:t>
      </w:r>
      <w:r/>
    </w:p>
    <w:p>
      <w:pPr>
        <w:ind w:left="567"/>
        <w:jc w:val="left"/>
        <w:spacing w:line="400" w:lineRule="exact"/>
        <w:widowControl/>
        <w:rPr>
          <w:rFonts w:hint="eastAsia" w:ascii="宋体" w:hAnsi="宋体" w:eastAsia="宋体" w:cs="宋体"/>
          <w:color w:val="auto"/>
          <w:szCs w:val="21"/>
          <w:highlight w:val="none"/>
          <w:lang w:eastAsia="zh-CN"/>
        </w:rPr>
      </w:pPr>
      <w:r/>
      <w:bookmarkStart w:id="15" w:name="OLE_LINK17"/>
      <w:r>
        <w:rPr>
          <w:rFonts w:hint="eastAsia" w:ascii="宋体" w:hAnsi="宋体" w:eastAsia="宋体" w:cs="宋体"/>
          <w:color w:val="auto"/>
          <w:szCs w:val="21"/>
          <w:highlight w:val="none"/>
        </w:rPr>
        <w:t xml:space="preserve">名称：</w:t>
      </w:r>
      <w:r>
        <w:rPr>
          <w:rFonts w:hint="eastAsia" w:ascii="宋体" w:hAnsi="宋体" w:cs="宋体"/>
          <w:color w:val="auto"/>
          <w:szCs w:val="21"/>
          <w:highlight w:val="none"/>
          <w:lang w:eastAsia="zh-CN"/>
        </w:rPr>
        <w:t xml:space="preserve">苏州市吴中生态环境局</w:t>
      </w:r>
      <w:bookmarkEnd w:id="15"/>
      <w:r/>
      <w:r/>
    </w:p>
    <w:p>
      <w:pPr>
        <w:ind w:left="567"/>
        <w:keepLines w:val="0"/>
        <w:keepNext w:val="0"/>
        <w:pageBreakBefore w:val="0"/>
        <w:spacing w:line="380" w:lineRule="exact"/>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地址：苏州市吴中区苏街198号</w:t>
      </w:r>
      <w:r/>
    </w:p>
    <w:p>
      <w:pPr>
        <w:ind w:left="567"/>
        <w:keepLines w:val="0"/>
        <w:keepNext w:val="0"/>
        <w:pageBreakBefore w:val="0"/>
        <w:spacing w:line="380" w:lineRule="exact"/>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联系方式：</w:t>
      </w:r>
      <w:bookmarkStart w:id="16" w:name="OLE_LINK18"/>
      <w:r>
        <w:rPr>
          <w:rFonts w:hint="eastAsia" w:ascii="宋体" w:hAnsi="宋体" w:eastAsia="宋体" w:cs="宋体"/>
          <w:color w:val="auto"/>
          <w:szCs w:val="21"/>
          <w:highlight w:val="none"/>
        </w:rPr>
        <w:t xml:space="preserve">0512-67082862</w:t>
      </w:r>
      <w:bookmarkEnd w:id="16"/>
      <w:r/>
      <w:r/>
    </w:p>
    <w:p>
      <w:pPr>
        <w:ind w:left="567"/>
        <w:keepLines w:val="0"/>
        <w:keepNext w:val="0"/>
        <w:pageBreakBefore w:val="0"/>
        <w:spacing w:line="380" w:lineRule="exact"/>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val="en-US" w:eastAsia="zh-CN"/>
        </w:rPr>
        <w:t xml:space="preserve">阮晓杰</w:t>
      </w:r>
      <w:r/>
    </w:p>
    <w:p>
      <w:pPr>
        <w:numPr>
          <w:ilvl w:val="0"/>
          <w:numId w:val="1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采购代理机构信息</w:t>
      </w:r>
      <w:r/>
    </w:p>
    <w:p>
      <w:pPr>
        <w:ind w:left="567"/>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名称：苏州市原鑫招投标咨询服务有限公司</w:t>
      </w:r>
      <w:r/>
    </w:p>
    <w:p>
      <w:pPr>
        <w:ind w:left="567"/>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地址：苏州市三香路万盛大厦13楼B座</w:t>
      </w:r>
      <w:r/>
    </w:p>
    <w:p>
      <w:pPr>
        <w:ind w:left="567"/>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联系方式：0512-68364647、68361806*8002</w:t>
      </w:r>
      <w:r/>
    </w:p>
    <w:p>
      <w:pPr>
        <w:numPr>
          <w:ilvl w:val="0"/>
          <w:numId w:val="1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项目联系方式</w:t>
      </w:r>
      <w:r/>
    </w:p>
    <w:p>
      <w:pPr>
        <w:ind w:left="567"/>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项目联系人：金健、周详、祝晓忠、周悦婷</w:t>
      </w:r>
      <w:r/>
    </w:p>
    <w:p>
      <w:pPr>
        <w:ind w:left="567"/>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电话：0512-68364647、68361806*8002</w:t>
      </w:r>
      <w:r/>
    </w:p>
    <w:p>
      <w:pPr>
        <w:jc w:val="center"/>
        <w:spacing w:line="480" w:lineRule="auto"/>
        <w:tabs>
          <w:tab w:val="left" w:pos="426" w:leader="none"/>
          <w:tab w:val="left" w:pos="709" w:leader="none"/>
        </w:tabs>
        <w:rPr>
          <w:rFonts w:hint="eastAsia" w:ascii="宋体" w:hAnsi="宋体"/>
          <w:b/>
          <w:bCs/>
          <w:color w:val="auto"/>
          <w:sz w:val="32"/>
          <w:szCs w:val="32"/>
          <w:highlight w:val="none"/>
        </w:rPr>
      </w:pPr>
      <w:r>
        <w:rPr>
          <w:rFonts w:ascii="宋体" w:hAnsi="宋体" w:cs="宋体"/>
          <w:color w:val="auto"/>
          <w:szCs w:val="21"/>
          <w:highlight w:val="none"/>
        </w:rPr>
        <w:br w:type="page" w:clear="all"/>
      </w:r>
      <w:r>
        <w:rPr>
          <w:rFonts w:hint="eastAsia" w:ascii="宋体" w:hAnsi="宋体"/>
          <w:b/>
          <w:color w:val="auto"/>
          <w:sz w:val="32"/>
          <w:highlight w:val="none"/>
        </w:rPr>
        <w:t xml:space="preserve">二、磋商采购文件</w:t>
      </w:r>
      <w:r/>
    </w:p>
    <w:p>
      <w:pPr>
        <w:ind w:firstLine="525"/>
        <w:jc w:val="left"/>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苏州市原鑫招投标咨询服务有限公司受</w:t>
      </w:r>
      <w:r>
        <w:rPr>
          <w:rFonts w:hint="eastAsia" w:ascii="宋体" w:hAnsi="宋体" w:cs="宋体"/>
          <w:color w:val="auto"/>
          <w:szCs w:val="21"/>
          <w:highlight w:val="none"/>
          <w:lang w:eastAsia="zh-CN"/>
        </w:rPr>
        <w:t xml:space="preserve">苏州市吴中生态环境局</w:t>
      </w:r>
      <w:r>
        <w:rPr>
          <w:rFonts w:hint="eastAsia" w:ascii="宋体" w:hAnsi="宋体" w:cs="宋体"/>
          <w:color w:val="auto"/>
          <w:szCs w:val="21"/>
          <w:highlight w:val="none"/>
        </w:rPr>
        <w:t xml:space="preserve">的委托，就其所需要采购的</w:t>
      </w:r>
      <w:r>
        <w:rPr>
          <w:rFonts w:hint="eastAsia" w:ascii="宋体" w:hAnsi="宋体"/>
          <w:color w:val="auto"/>
          <w:szCs w:val="21"/>
          <w:highlight w:val="none"/>
          <w:lang w:eastAsia="zh-CN"/>
        </w:rPr>
        <w:t xml:space="preserve">2026年市控空气自动站运维</w:t>
      </w:r>
      <w:r>
        <w:rPr>
          <w:rFonts w:hint="eastAsia" w:ascii="宋体" w:hAnsi="宋体" w:eastAsia="宋体" w:cs="宋体"/>
          <w:color w:val="auto"/>
          <w:sz w:val="21"/>
          <w:szCs w:val="21"/>
          <w:highlight w:val="none"/>
        </w:rPr>
        <w:t xml:space="preserve">在国内组织竞争性磋商采购。欢迎符合采购文件资格条件的供应商前来参加磋商。</w:t>
      </w:r>
      <w:r/>
    </w:p>
    <w:p>
      <w:pPr>
        <w:numPr>
          <w:ilvl w:val="0"/>
          <w:numId w:val="17"/>
        </w:numPr>
        <w:ind w:left="567" w:hanging="567"/>
        <w:keepLines w:val="0"/>
        <w:keepNext w:val="0"/>
        <w:pageBreakBefore w:val="0"/>
        <w:spacing w:line="400" w:lineRule="exact"/>
        <w:widowControl w:val="off"/>
        <w:tabs>
          <w:tab w:val="clear" w:pos="420" w:leader="none"/>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采购编号：</w:t>
      </w:r>
      <w:r>
        <w:rPr>
          <w:rFonts w:hint="eastAsia" w:ascii="宋体" w:hAnsi="宋体" w:cs="宋体"/>
          <w:bCs/>
          <w:color w:val="auto"/>
          <w:sz w:val="21"/>
          <w:szCs w:val="21"/>
          <w:highlight w:val="none"/>
          <w:lang w:eastAsia="zh-CN"/>
        </w:rPr>
        <w:t xml:space="preserve">JSZC-320506-SZYX-C2026-0014</w:t>
      </w:r>
      <w:r/>
    </w:p>
    <w:p>
      <w:pPr>
        <w:numPr>
          <w:ilvl w:val="0"/>
          <w:numId w:val="17"/>
        </w:numPr>
        <w:ind w:left="567" w:hanging="567"/>
        <w:keepLines w:val="0"/>
        <w:keepNext w:val="0"/>
        <w:pageBreakBefore w:val="0"/>
        <w:spacing w:line="400" w:lineRule="exact"/>
        <w:widowControl w:val="off"/>
        <w:tabs>
          <w:tab w:val="clear" w:pos="420" w:leader="none"/>
          <w:tab w:val="left" w:pos="567" w:leader="none"/>
        </w:tabs>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采购内容：</w:t>
      </w:r>
      <w:r>
        <w:rPr>
          <w:rFonts w:hint="eastAsia" w:ascii="宋体" w:hAnsi="宋体" w:cs="宋体"/>
          <w:color w:val="auto"/>
          <w:sz w:val="21"/>
          <w:szCs w:val="21"/>
          <w:highlight w:val="none"/>
          <w:lang w:eastAsia="zh-CN"/>
        </w:rPr>
        <w:t xml:space="preserve">2026年市控空气自动站运维</w:t>
      </w:r>
      <w:r/>
    </w:p>
    <w:p>
      <w:pPr>
        <w:numPr>
          <w:ilvl w:val="0"/>
          <w:numId w:val="17"/>
        </w:numPr>
        <w:ind w:left="0" w:hanging="567"/>
        <w:keepLines w:val="0"/>
        <w:keepNext w:val="0"/>
        <w:pageBreakBefore w:val="0"/>
        <w:spacing w:line="400" w:lineRule="exact"/>
        <w:widowControl w:val="off"/>
        <w:tabs>
          <w:tab w:val="clear" w:pos="420" w:leader="none"/>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w:t>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color w:val="auto"/>
          <w:sz w:val="21"/>
          <w:szCs w:val="21"/>
          <w:highlight w:val="none"/>
        </w:rPr>
        <w:t xml:space="preserve">项目概况</w:t>
      </w:r>
      <w:r/>
    </w:p>
    <w:p>
      <w:pPr>
        <w:numPr>
          <w:ilvl w:val="0"/>
          <w:numId w:val="0"/>
        </w:numPr>
        <w:ind w:firstLine="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cs="宋体"/>
          <w:color w:val="auto"/>
          <w:szCs w:val="21"/>
          <w:highlight w:val="none"/>
          <w:lang w:val="en-US" w:eastAsia="zh-CN"/>
        </w:rPr>
        <w:t xml:space="preserve">本项目为确保苏州市吴中区12个市控环境空气自动监测站系统正常运行，提高数据质量，强化子站管理，发挥其应有的评价、预警等作用，对上述站点进行全托管运维服务，并开展13个点位每月一次的降尘监测服务（木渎高级中学仅开展降尘监测）；</w:t>
      </w:r>
      <w:r>
        <w:rPr>
          <w:rFonts w:hint="eastAsia" w:ascii="宋体" w:hAnsi="宋体" w:cs="宋体"/>
          <w:color w:val="auto"/>
          <w:highlight w:val="none"/>
          <w:lang w:val="en-US" w:eastAsia="zh-CN"/>
        </w:rPr>
        <w:t xml:space="preserve">项目服务</w:t>
      </w:r>
      <w:r>
        <w:rPr>
          <w:rFonts w:hint="eastAsia" w:ascii="宋体" w:hAnsi="宋体" w:cs="宋体"/>
          <w:color w:val="auto"/>
          <w:highlight w:val="none"/>
        </w:rPr>
        <w:t xml:space="preserve">期限</w:t>
      </w:r>
      <w:r>
        <w:rPr>
          <w:rFonts w:hint="eastAsia" w:ascii="宋体" w:hAnsi="宋体" w:cs="宋体"/>
          <w:color w:val="auto"/>
          <w:highlight w:val="none"/>
          <w:lang w:val="en-US" w:eastAsia="zh-CN"/>
        </w:rPr>
        <w:t xml:space="preserve">为</w:t>
      </w:r>
      <w:r>
        <w:rPr>
          <w:rFonts w:hint="eastAsia" w:ascii="宋体" w:hAnsi="宋体" w:cs="宋体"/>
          <w:color w:val="auto"/>
          <w:szCs w:val="21"/>
          <w:highlight w:val="none"/>
          <w:lang w:val="en-US" w:eastAsia="zh-CN"/>
        </w:rPr>
        <w:t xml:space="preserve">12个月。</w:t>
      </w:r>
      <w:r>
        <w:rPr>
          <w:rFonts w:hint="eastAsia" w:ascii="宋体" w:hAnsi="宋体" w:cs="宋体"/>
          <w:color w:val="auto"/>
          <w:szCs w:val="21"/>
          <w:highlight w:val="none"/>
          <w:lang w:val="en-US" w:eastAsia="zh-CN"/>
        </w:rPr>
        <w:t xml:space="preserve">并根据现场大气管控服务需求，提供12次VOCs走航监测服务、12次空气六参数走航任务，以上服务每次走航时间1天，走航范围及具体项目根据采购方需求设定；确保站点满足自动监测站点防人为干扰的基础保障要求</w:t>
      </w:r>
      <w:r>
        <w:rPr>
          <w:rFonts w:hint="eastAsia" w:ascii="宋体" w:hAnsi="宋体" w:eastAsia="宋体" w:cs="宋体"/>
          <w:color w:val="auto"/>
          <w:sz w:val="21"/>
          <w:szCs w:val="21"/>
          <w:highlight w:val="none"/>
          <w:lang w:val="en-US" w:eastAsia="zh-CN"/>
        </w:rPr>
        <w:t xml:space="preserve">。</w:t>
      </w:r>
      <w:r/>
    </w:p>
    <w:p>
      <w:pPr>
        <w:ind w:left="0" w:right="0" w:firstLine="420"/>
        <w:jc w:val="center"/>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表1、环境空气自动监测站基本信息一览表</w:t>
      </w:r>
      <w:r/>
    </w:p>
    <w:tbl>
      <w:tblPr>
        <w:tblStyle w:val="1038"/>
        <w:tblW w:w="9688" w:type="dxa"/>
        <w:tblInd w:w="9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2316"/>
        <w:gridCol w:w="1100"/>
        <w:gridCol w:w="5413"/>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1"/>
                <w:szCs w:val="21"/>
                <w:highlight w:val="none"/>
              </w:rPr>
              <w:t xml:space="preserve">点位名称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1"/>
                <w:szCs w:val="21"/>
                <w:highlight w:val="none"/>
              </w:rPr>
              <w:t xml:space="preserve">点位性质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1"/>
                <w:szCs w:val="21"/>
                <w:highlight w:val="none"/>
              </w:rPr>
              <w:t xml:space="preserve">地址</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甪直镇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甪直镇水八仙生态园</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郭巷街道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郭巷实验小学</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城南街道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碧波实验小学</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越溪街道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越溪街道社会管理综合治理工作中心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横泾街道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横泾街道文体教育服务中心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临湖镇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临湖实验中学</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胥口镇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胥口中学</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光福镇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光福镇冲山岛</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金庭镇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金庭文体中心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香山街道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渔洋山墩旺有机农场</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东山镇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东山实验小学</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太湖街道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华东师范大学苏州湾实验小学</w:t>
            </w:r>
            <w:r/>
          </w:p>
        </w:tc>
      </w:tr>
    </w:tbl>
    <w:p>
      <w:pPr>
        <w:ind w:left="0" w:right="0" w:firstLine="420"/>
        <w:jc w:val="center"/>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表2、降尘点位基本信息一览表</w:t>
      </w:r>
      <w:r/>
    </w:p>
    <w:tbl>
      <w:tblPr>
        <w:tblStyle w:val="1038"/>
        <w:tblW w:w="979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2253"/>
        <w:gridCol w:w="1104"/>
        <w:gridCol w:w="5575"/>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1"/>
                <w:szCs w:val="21"/>
                <w:highlight w:val="none"/>
              </w:rPr>
              <w:t xml:space="preserve">点位名称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1"/>
                <w:szCs w:val="21"/>
                <w:highlight w:val="none"/>
              </w:rPr>
              <w:t xml:space="preserve">点位性质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1"/>
                <w:szCs w:val="21"/>
                <w:highlight w:val="none"/>
              </w:rPr>
              <w:t xml:space="preserve">地址</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甪直镇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甪直镇水八仙生态园</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郭巷街道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郭巷实验小学</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城南街道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碧波实验小学</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越溪街道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越溪街道社会管理综合治理工作中心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横泾街道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横泾街道文体教育服务中心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临湖镇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临湖实验中学</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胥口镇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胥口中学</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光福镇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光福镇冲山岛</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金庭镇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金庭文体中心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香山街道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渔洋山墩旺有机农场</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东山镇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东山实验小学</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太湖街道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乡镇站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华东师范大学苏州湾实验小学</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木渎镇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国家站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木渎高级中学</w:t>
            </w:r>
            <w:r/>
          </w:p>
        </w:tc>
      </w:tr>
    </w:tbl>
    <w:p>
      <w:pPr>
        <w:numPr>
          <w:ilvl w:val="0"/>
          <w:numId w:val="0"/>
        </w:numPr>
        <w:ind w:firstLine="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本次进行全托管运维服务的环境空气自动监测站的运维时间信息见表3，各站点仪器设备配置见表4。</w:t>
      </w:r>
      <w:r/>
    </w:p>
    <w:p>
      <w:pPr>
        <w:ind w:left="0" w:right="0" w:firstLine="420"/>
        <w:jc w:val="center"/>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表3、环境空气自动监测站的服务时间及内容</w:t>
      </w:r>
      <w:r/>
    </w:p>
    <w:tbl>
      <w:tblPr>
        <w:tblStyle w:val="1038"/>
        <w:tblW w:w="98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790"/>
        <w:gridCol w:w="4605"/>
        <w:gridCol w:w="1658"/>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1"/>
                <w:szCs w:val="21"/>
                <w:highlight w:val="none"/>
              </w:rPr>
              <w:t xml:space="preserve">点位名称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0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1"/>
                <w:szCs w:val="21"/>
                <w:highlight w:val="none"/>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1"/>
                <w:szCs w:val="21"/>
                <w:highlight w:val="none"/>
              </w:rPr>
              <w:t xml:space="preserve">运维周期</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吴中区12个市控站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O3、PM2.5、SO2、NO/NO2/NOX、CO、PM10校准系统、工控机、站房等配套、降尘监测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12个月</w:t>
            </w:r>
            <w:r/>
          </w:p>
        </w:tc>
      </w:tr>
    </w:tbl>
    <w:p>
      <w:pPr>
        <w:ind w:left="0" w:right="0" w:firstLine="0"/>
        <w:jc w:val="center"/>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表4、环境空气自动监测站主要设备信息表</w:t>
      </w:r>
      <w:r/>
    </w:p>
    <w:tbl>
      <w:tblPr>
        <w:tblStyle w:val="1038"/>
        <w:tblW w:w="980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2440"/>
        <w:gridCol w:w="2253"/>
        <w:gridCol w:w="1574"/>
        <w:gridCol w:w="973"/>
        <w:gridCol w:w="1536"/>
      </w:tblGrid>
      <w:tr>
        <w:trPr>
          <w:trHeight w:val="34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4" w:type="dxa"/>
            <w:vAlign w:val="center"/>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1：甪直镇、郭巷街道、城南街道、长桥街道、越溪街道、横泾街道、临湖镇、胥口镇、光福镇、金庭镇</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仪器设备名称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启用时间</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氮氧化物分析仪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蓝盾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LGH</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2020</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二氧化硫分析仪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蓝盾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LGH-210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2020</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一氧化碳分析仪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蓝盾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LGH-230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2020</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臭氧分析仪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先河环保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XHOZ2000B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2019</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PM10分析仪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Thermo Fisher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5030i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2020</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PM2.5分析仪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先河环保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XHPM2000E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2019</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动态校准仪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先河环保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XHCZL2000B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2019</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零气发生器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先河环保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XHZ2000B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2019</w:t>
            </w:r>
            <w:r/>
          </w:p>
        </w:tc>
      </w:tr>
      <w:tr>
        <w:trPr>
          <w:trHeight w:val="34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4"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2：香山街道、东山镇、太湖街道</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仪器设备名称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启用时间</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氮氧化物分析仪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Thermo Fisher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42i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2020</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二氧化硫分析仪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Thermo Fisher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43i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2020</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一氧化碳分析仪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Thermo Fisher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48i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2020</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臭氧分析仪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Thermo Fisher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49i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2020</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PM10分析仪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Thermo Fisher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5030i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2020</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PM2.5分析仪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Thermo Fisher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5030i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2020</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动态校准仪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Thermo Fisher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146i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2020</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零气发生器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Thermo Fisher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2020</w:t>
            </w:r>
            <w:r/>
          </w:p>
        </w:tc>
      </w:tr>
    </w:tbl>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color w:val="auto"/>
          <w:sz w:val="21"/>
          <w:szCs w:val="21"/>
          <w:highlight w:val="none"/>
        </w:rPr>
        <w:t xml:space="preserve">走航监测服务</w:t>
      </w:r>
      <w:r/>
    </w:p>
    <w:p>
      <w:pPr>
        <w:numPr>
          <w:ilvl w:val="0"/>
          <w:numId w:val="19"/>
        </w:numPr>
        <w:ind w:left="567" w:hanging="567"/>
        <w:keepLines w:val="0"/>
        <w:keepNext w:val="0"/>
        <w:pageBreakBefore w:val="0"/>
        <w:spacing w:line="400" w:lineRule="exact"/>
        <w:widowControl w:val="off"/>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color w:val="auto"/>
          <w:sz w:val="21"/>
          <w:szCs w:val="21"/>
          <w:highlight w:val="none"/>
        </w:rPr>
        <w:t xml:space="preserve">服务内容</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根据采购方需求以及空气质量污染情况，提供12次的VOCs走航监测、12次空气六参数走航监测服务，以上走航每次走航时间1天。</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1"/>
          <w:szCs w:val="21"/>
          <w:highlight w:val="none"/>
        </w:rPr>
        <w:t xml:space="preserve">走航服务方式包括：</w:t>
      </w:r>
      <w:r/>
    </w:p>
    <w:p>
      <w:pPr>
        <w:numPr>
          <w:ilvl w:val="0"/>
          <w:numId w:val="20"/>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整体区域移动监测：通过移动监测描绘城区污染地图，全面、快速诊断污染物的整体分布情况，锁定污染高值路段及重点区域；</w:t>
      </w:r>
      <w:r/>
    </w:p>
    <w:p>
      <w:pPr>
        <w:numPr>
          <w:ilvl w:val="0"/>
          <w:numId w:val="20"/>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各区域污染分布移动监测：由内到外进行各区加密移动监测，分析区域空间污染分布；</w:t>
      </w:r>
      <w:r/>
    </w:p>
    <w:p>
      <w:pPr>
        <w:numPr>
          <w:ilvl w:val="0"/>
          <w:numId w:val="20"/>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重点园区污染排查：对市区重点园区及企业集中地带进行小尺度网格化移动监测，识别重点排污企业，锁定问题工段；</w:t>
      </w:r>
      <w:r/>
    </w:p>
    <w:p>
      <w:pPr>
        <w:numPr>
          <w:ilvl w:val="0"/>
          <w:numId w:val="20"/>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国控点和省控点周边移动监测：以国控点/省控点为圆心，对其周边1-5km范围内进行移动监测，快速发现异常排放情况，及时采取措施；</w:t>
      </w:r>
      <w:r/>
    </w:p>
    <w:p>
      <w:pPr>
        <w:numPr>
          <w:ilvl w:val="0"/>
          <w:numId w:val="20"/>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污染天气条件下应急响应：当发生大气污染事件，移动监测服务能快速的响应并且投入到对重点区域的巡查中。对异常点位快速进行诊断分析，排查污染源。</w:t>
      </w:r>
      <w:r/>
    </w:p>
    <w:p>
      <w:pPr>
        <w:numPr>
          <w:ilvl w:val="0"/>
          <w:numId w:val="19"/>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1"/>
          <w:szCs w:val="21"/>
          <w:highlight w:val="none"/>
        </w:rPr>
        <w:t xml:space="preserve">走航监测产品技术要求</w:t>
      </w:r>
      <w:r/>
    </w:p>
    <w:p>
      <w:pPr>
        <w:pStyle w:val="985"/>
        <w:numPr>
          <w:ilvl w:val="0"/>
          <w:numId w:val="21"/>
        </w:numPr>
        <w:ind w:left="567" w:hanging="567"/>
        <w:keepLines w:val="0"/>
        <w:keepNext w:val="0"/>
        <w:pageBreakBefore w:val="0"/>
        <w:spacing w:line="400" w:lineRule="exact"/>
        <w:rPr>
          <w:rFonts w:hint="eastAsia"/>
          <w:color w:val="auto"/>
          <w:sz w:val="21"/>
          <w:szCs w:val="21"/>
          <w:highlight w:val="none"/>
        </w:rPr>
      </w:pPr>
      <w:r>
        <w:rPr>
          <w:rFonts w:hint="eastAsia"/>
          <w:color w:val="auto"/>
          <w:sz w:val="21"/>
          <w:szCs w:val="21"/>
          <w:highlight w:val="none"/>
        </w:rPr>
        <w:t xml:space="preserve">VOCs走航监测系统技术要求</w:t>
      </w:r>
      <w:r/>
    </w:p>
    <w:p>
      <w:pPr>
        <w:numPr>
          <w:ilvl w:val="0"/>
          <w:numId w:val="22"/>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检测有机物种类：国家《大气污染物综合排放标准》中的挥发性有机物：苯类、醛类、酮类、胺类、醇类、醚类、酚类、腈类、硫化物等；化学毒剂等；《国家恶臭污染排放标准》中全部8种恶臭气体，以及《上海恶臭(异味)污染物排放标准》中全部22种恶臭气体。</w:t>
      </w:r>
      <w:r/>
    </w:p>
    <w:p>
      <w:pPr>
        <w:numPr>
          <w:ilvl w:val="0"/>
          <w:numId w:val="22"/>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检测方式：自动吸入式不间断采样测量，不需要样品预处理；</w:t>
      </w:r>
      <w:r/>
    </w:p>
    <w:p>
      <w:pPr>
        <w:numPr>
          <w:ilvl w:val="0"/>
          <w:numId w:val="22"/>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仪器检出限：≤100ppt（提供</w:t>
      </w:r>
      <w:r>
        <w:rPr>
          <w:rFonts w:hint="eastAsia" w:ascii="宋体" w:hAnsi="宋体" w:cs="宋体"/>
          <w:color w:val="auto"/>
          <w:sz w:val="21"/>
          <w:szCs w:val="21"/>
          <w:highlight w:val="none"/>
          <w:lang w:eastAsia="zh-CN"/>
        </w:rPr>
        <w:t xml:space="preserve">具有资质的</w:t>
      </w:r>
      <w:r>
        <w:rPr>
          <w:rFonts w:hint="eastAsia" w:ascii="宋体" w:hAnsi="宋体" w:eastAsia="宋体" w:cs="宋体"/>
          <w:color w:val="auto"/>
          <w:sz w:val="21"/>
          <w:szCs w:val="21"/>
          <w:highlight w:val="none"/>
        </w:rPr>
        <w:t xml:space="preserve">计量检测单位出具的测试证书予以佐证）</w:t>
      </w:r>
      <w:r/>
    </w:p>
    <w:p>
      <w:pPr>
        <w:numPr>
          <w:ilvl w:val="0"/>
          <w:numId w:val="22"/>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响应时间：≤1s；(提供</w:t>
      </w:r>
      <w:r>
        <w:rPr>
          <w:rFonts w:hint="eastAsia" w:ascii="宋体" w:hAnsi="宋体" w:cs="宋体"/>
          <w:color w:val="auto"/>
          <w:sz w:val="21"/>
          <w:szCs w:val="21"/>
          <w:highlight w:val="none"/>
          <w:lang w:eastAsia="zh-CN"/>
        </w:rPr>
        <w:t xml:space="preserve">具有资质的</w:t>
      </w:r>
      <w:r>
        <w:rPr>
          <w:rFonts w:hint="eastAsia" w:ascii="宋体" w:hAnsi="宋体" w:eastAsia="宋体" w:cs="宋体"/>
          <w:color w:val="auto"/>
          <w:sz w:val="21"/>
          <w:szCs w:val="21"/>
          <w:highlight w:val="none"/>
        </w:rPr>
        <w:t xml:space="preserve">计量检测单位出具的测试证书予以佐证)</w:t>
      </w:r>
      <w:r/>
    </w:p>
    <w:p>
      <w:pPr>
        <w:numPr>
          <w:ilvl w:val="0"/>
          <w:numId w:val="22"/>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可直接采样，不需要对样品预处理；</w:t>
      </w:r>
      <w:r/>
    </w:p>
    <w:p>
      <w:pPr>
        <w:numPr>
          <w:ilvl w:val="0"/>
          <w:numId w:val="22"/>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进样管路温度：可调控，设置范围：30~120℃(提供</w:t>
      </w:r>
      <w:r>
        <w:rPr>
          <w:rFonts w:hint="eastAsia" w:ascii="宋体" w:hAnsi="宋体" w:cs="宋体"/>
          <w:color w:val="auto"/>
          <w:sz w:val="21"/>
          <w:szCs w:val="21"/>
          <w:highlight w:val="none"/>
          <w:lang w:eastAsia="zh-CN"/>
        </w:rPr>
        <w:t xml:space="preserve">具有资质的</w:t>
      </w:r>
      <w:r>
        <w:rPr>
          <w:rFonts w:hint="eastAsia" w:ascii="宋体" w:hAnsi="宋体" w:eastAsia="宋体" w:cs="宋体"/>
          <w:color w:val="auto"/>
          <w:sz w:val="21"/>
          <w:szCs w:val="21"/>
          <w:highlight w:val="none"/>
        </w:rPr>
        <w:t xml:space="preserve">计量检测单位出具的测试证书予以佐证)</w:t>
      </w:r>
      <w:r/>
    </w:p>
    <w:p>
      <w:pPr>
        <w:numPr>
          <w:ilvl w:val="0"/>
          <w:numId w:val="22"/>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进气流速≤0.3 L/min; (提供</w:t>
      </w:r>
      <w:r>
        <w:rPr>
          <w:rFonts w:hint="eastAsia" w:ascii="宋体" w:hAnsi="宋体" w:cs="宋体"/>
          <w:color w:val="auto"/>
          <w:sz w:val="21"/>
          <w:szCs w:val="21"/>
          <w:highlight w:val="none"/>
          <w:lang w:eastAsia="zh-CN"/>
        </w:rPr>
        <w:t xml:space="preserve">具有资质的</w:t>
      </w:r>
      <w:r>
        <w:rPr>
          <w:rFonts w:hint="eastAsia" w:ascii="宋体" w:hAnsi="宋体" w:eastAsia="宋体" w:cs="宋体"/>
          <w:color w:val="auto"/>
          <w:sz w:val="21"/>
          <w:szCs w:val="21"/>
          <w:highlight w:val="none"/>
        </w:rPr>
        <w:t xml:space="preserve">计量检测单位出具的测试证书予以佐证)</w:t>
      </w:r>
      <w:r/>
    </w:p>
    <w:p>
      <w:pPr>
        <w:numPr>
          <w:ilvl w:val="0"/>
          <w:numId w:val="22"/>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内置铂丝催化器，获取仪器背景信号；(提供</w:t>
      </w:r>
      <w:r>
        <w:rPr>
          <w:rFonts w:hint="eastAsia" w:ascii="宋体" w:hAnsi="宋体" w:cs="宋体"/>
          <w:color w:val="auto"/>
          <w:sz w:val="21"/>
          <w:szCs w:val="21"/>
          <w:highlight w:val="none"/>
          <w:lang w:eastAsia="zh-CN"/>
        </w:rPr>
        <w:t xml:space="preserve">具有资质的</w:t>
      </w:r>
      <w:r>
        <w:rPr>
          <w:rFonts w:hint="eastAsia" w:ascii="宋体" w:hAnsi="宋体" w:eastAsia="宋体" w:cs="宋体"/>
          <w:color w:val="auto"/>
          <w:sz w:val="21"/>
          <w:szCs w:val="21"/>
          <w:highlight w:val="none"/>
        </w:rPr>
        <w:t xml:space="preserve">计量检测单位出具的测试证书予以佐证)</w:t>
      </w:r>
      <w:r/>
    </w:p>
    <w:p>
      <w:pPr>
        <w:numPr>
          <w:ilvl w:val="0"/>
          <w:numId w:val="22"/>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双离子源（标配H3O+和赠送的备用EI源）；(提供</w:t>
      </w:r>
      <w:r>
        <w:rPr>
          <w:rFonts w:hint="eastAsia" w:ascii="宋体" w:hAnsi="宋体" w:cs="宋体"/>
          <w:color w:val="auto"/>
          <w:sz w:val="21"/>
          <w:szCs w:val="21"/>
          <w:highlight w:val="none"/>
          <w:lang w:eastAsia="zh-CN"/>
        </w:rPr>
        <w:t xml:space="preserve">具有资质的</w:t>
      </w:r>
      <w:r>
        <w:rPr>
          <w:rFonts w:hint="eastAsia" w:ascii="宋体" w:hAnsi="宋体" w:eastAsia="宋体" w:cs="宋体"/>
          <w:color w:val="auto"/>
          <w:sz w:val="21"/>
          <w:szCs w:val="21"/>
          <w:highlight w:val="none"/>
        </w:rPr>
        <w:t xml:space="preserve">计量检测单位出具的测试证书予以佐证)</w:t>
      </w:r>
      <w:r/>
    </w:p>
    <w:p>
      <w:pPr>
        <w:numPr>
          <w:ilvl w:val="0"/>
          <w:numId w:val="22"/>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为了保证长期稳定性，采用三级四极杆（含前置过滤杆（pre-filter）、质量过滤主杆（primary mass filter）、后置过滤杆（post-filter），相比单级“四极杆”，避免主杆污染、增强长期稳定性；</w:t>
      </w:r>
      <w:r/>
    </w:p>
    <w:p>
      <w:pPr>
        <w:numPr>
          <w:ilvl w:val="0"/>
          <w:numId w:val="22"/>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质量范围：0.4-510amu；(提供</w:t>
      </w:r>
      <w:r>
        <w:rPr>
          <w:rFonts w:hint="eastAsia" w:ascii="宋体" w:hAnsi="宋体" w:cs="宋体"/>
          <w:color w:val="auto"/>
          <w:sz w:val="21"/>
          <w:szCs w:val="21"/>
          <w:highlight w:val="none"/>
          <w:lang w:eastAsia="zh-CN"/>
        </w:rPr>
        <w:t xml:space="preserve">具有资质的</w:t>
      </w:r>
      <w:r>
        <w:rPr>
          <w:rFonts w:hint="eastAsia" w:ascii="宋体" w:hAnsi="宋体" w:eastAsia="宋体" w:cs="宋体"/>
          <w:color w:val="auto"/>
          <w:sz w:val="21"/>
          <w:szCs w:val="21"/>
          <w:highlight w:val="none"/>
        </w:rPr>
        <w:t xml:space="preserve">计量检测单位出具的测试证书予以佐证)</w:t>
      </w:r>
      <w:r/>
    </w:p>
    <w:p>
      <w:pPr>
        <w:numPr>
          <w:ilvl w:val="0"/>
          <w:numId w:val="22"/>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质谱检测器分辨率：≤0.6amu；(提供</w:t>
      </w:r>
      <w:r>
        <w:rPr>
          <w:rFonts w:hint="eastAsia" w:ascii="宋体" w:hAnsi="宋体" w:cs="宋体"/>
          <w:color w:val="auto"/>
          <w:sz w:val="21"/>
          <w:szCs w:val="21"/>
          <w:highlight w:val="none"/>
          <w:lang w:eastAsia="zh-CN"/>
        </w:rPr>
        <w:t xml:space="preserve">具有资质的</w:t>
      </w:r>
      <w:r>
        <w:rPr>
          <w:rFonts w:hint="eastAsia" w:ascii="宋体" w:hAnsi="宋体" w:eastAsia="宋体" w:cs="宋体"/>
          <w:color w:val="auto"/>
          <w:sz w:val="21"/>
          <w:szCs w:val="21"/>
          <w:highlight w:val="none"/>
        </w:rPr>
        <w:t xml:space="preserve">计量检测单位出具的测试证书予以佐证)</w:t>
      </w:r>
      <w:r/>
    </w:p>
    <w:p>
      <w:pPr>
        <w:numPr>
          <w:ilvl w:val="0"/>
          <w:numId w:val="22"/>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整机设置了质谱自动保护功能，当质谱腔气压高于5x10-6 mbar气压(可根据实际需要设定该值)，软件可触发质谱自动保护功能，自动将高压置零。</w:t>
      </w:r>
      <w:r/>
    </w:p>
    <w:p>
      <w:pPr>
        <w:pStyle w:val="985"/>
        <w:numPr>
          <w:ilvl w:val="0"/>
          <w:numId w:val="21"/>
        </w:numPr>
        <w:ind w:left="567" w:hanging="567"/>
        <w:keepLines w:val="0"/>
        <w:keepNext w:val="0"/>
        <w:pageBreakBefore w:val="0"/>
        <w:spacing w:line="400" w:lineRule="exact"/>
        <w:rPr>
          <w:rFonts w:hint="eastAsia"/>
          <w:color w:val="auto"/>
          <w:sz w:val="21"/>
          <w:szCs w:val="21"/>
          <w:highlight w:val="none"/>
        </w:rPr>
      </w:pPr>
      <w:r>
        <w:rPr>
          <w:rFonts w:hint="eastAsia"/>
          <w:color w:val="auto"/>
          <w:sz w:val="21"/>
          <w:szCs w:val="21"/>
          <w:highlight w:val="none"/>
        </w:rPr>
        <w:t xml:space="preserve">车载空气六参数监测模块技术要求</w:t>
      </w:r>
      <w:r/>
    </w:p>
    <w:p>
      <w:pPr>
        <w:numPr>
          <w:ilvl w:val="0"/>
          <w:numId w:val="23"/>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监测指标：SO2、NO2、CO、O3、PM10、PM2.5、TVOC</w:t>
      </w:r>
      <w:r/>
    </w:p>
    <w:p>
      <w:pPr>
        <w:numPr>
          <w:ilvl w:val="0"/>
          <w:numId w:val="23"/>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监测原理：电化学法（SO2、NO2、CO、O3、TVOC）、光散射法（PM10、PM2.5）</w:t>
      </w:r>
      <w:r/>
    </w:p>
    <w:p>
      <w:pPr>
        <w:numPr>
          <w:ilvl w:val="0"/>
          <w:numId w:val="23"/>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▲污染物监测技术指标：（以下参数提供具有CMA资质认证机构出具的检验报告予以佐证）</w:t>
      </w:r>
      <w:r/>
    </w:p>
    <w:p>
      <w:pPr>
        <w:ind w:left="567" w:firstLine="0"/>
        <w:jc w:val="left"/>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1）PM</w:t>
      </w:r>
      <w:r>
        <w:rPr>
          <w:rFonts w:hint="eastAsia" w:ascii="宋体" w:hAnsi="宋体" w:eastAsia="宋体" w:cs="宋体"/>
          <w:bCs/>
          <w:color w:val="auto"/>
          <w:sz w:val="21"/>
          <w:szCs w:val="21"/>
          <w:highlight w:val="none"/>
          <w:vertAlign w:val="subscript"/>
        </w:rPr>
        <w:t xml:space="preserve">2.5</w:t>
      </w:r>
      <w:r>
        <w:rPr>
          <w:rFonts w:hint="eastAsia" w:ascii="宋体" w:hAnsi="宋体" w:eastAsia="宋体" w:cs="宋体"/>
          <w:bCs/>
          <w:color w:val="auto"/>
          <w:sz w:val="21"/>
          <w:szCs w:val="21"/>
          <w:highlight w:val="none"/>
        </w:rPr>
        <w:t xml:space="preserve">：</w:t>
      </w:r>
      <w:r/>
    </w:p>
    <w:p>
      <w:pPr>
        <w:ind w:left="567" w:firstLine="0"/>
        <w:jc w:val="left"/>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测量范围：0~1000μg/m</w:t>
      </w:r>
      <w:r>
        <w:rPr>
          <w:rFonts w:hint="eastAsia" w:ascii="宋体" w:hAnsi="宋体" w:eastAsia="宋体" w:cs="宋体"/>
          <w:bCs/>
          <w:color w:val="auto"/>
          <w:sz w:val="21"/>
          <w:szCs w:val="21"/>
          <w:highlight w:val="none"/>
          <w:vertAlign w:val="superscript"/>
        </w:rPr>
        <w:t xml:space="preserve">3</w:t>
      </w:r>
      <w:r/>
    </w:p>
    <w:p>
      <w:pPr>
        <w:ind w:left="567" w:firstLine="0"/>
        <w:jc w:val="left"/>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平行性：≤3%</w:t>
      </w:r>
      <w:r/>
    </w:p>
    <w:p>
      <w:pPr>
        <w:ind w:left="567" w:firstLine="0"/>
        <w:jc w:val="left"/>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重复性：≤1</w:t>
      </w:r>
      <w:r/>
    </w:p>
    <w:p>
      <w:pPr>
        <w:ind w:left="567" w:firstLine="0"/>
        <w:jc w:val="left"/>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室外比对测量相关系数：≥0.99</w:t>
      </w:r>
      <w:r/>
    </w:p>
    <w:p>
      <w:pPr>
        <w:ind w:left="567" w:firstLine="0"/>
        <w:jc w:val="left"/>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2）PM</w:t>
      </w:r>
      <w:r>
        <w:rPr>
          <w:rFonts w:hint="eastAsia" w:ascii="宋体" w:hAnsi="宋体" w:eastAsia="宋体" w:cs="宋体"/>
          <w:bCs/>
          <w:color w:val="auto"/>
          <w:sz w:val="21"/>
          <w:szCs w:val="21"/>
          <w:highlight w:val="none"/>
          <w:vertAlign w:val="subscript"/>
        </w:rPr>
        <w:t xml:space="preserve">10</w:t>
      </w:r>
      <w:r>
        <w:rPr>
          <w:rFonts w:hint="eastAsia" w:ascii="宋体" w:hAnsi="宋体" w:eastAsia="宋体" w:cs="宋体"/>
          <w:bCs/>
          <w:color w:val="auto"/>
          <w:sz w:val="21"/>
          <w:szCs w:val="21"/>
          <w:highlight w:val="none"/>
        </w:rPr>
        <w:t xml:space="preserve">:</w:t>
      </w:r>
      <w:r/>
    </w:p>
    <w:p>
      <w:pPr>
        <w:ind w:left="567" w:firstLine="0"/>
        <w:jc w:val="left"/>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测量范围：0~1000ug/m3</w:t>
      </w:r>
      <w:r/>
    </w:p>
    <w:p>
      <w:pPr>
        <w:ind w:left="567" w:firstLine="0"/>
        <w:jc w:val="left"/>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平行性：≤2.5%</w:t>
      </w:r>
      <w:r/>
    </w:p>
    <w:p>
      <w:pPr>
        <w:ind w:left="567" w:firstLine="0"/>
        <w:jc w:val="left"/>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重复性：≤0.5%</w:t>
      </w:r>
      <w:r/>
    </w:p>
    <w:p>
      <w:pPr>
        <w:ind w:left="567" w:firstLine="0"/>
        <w:jc w:val="left"/>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室外比对测量相关系数：≥0.995</w:t>
      </w:r>
      <w:r/>
    </w:p>
    <w:p>
      <w:pPr>
        <w:ind w:left="567" w:firstLine="0"/>
        <w:jc w:val="left"/>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3）SO</w:t>
      </w:r>
      <w:r>
        <w:rPr>
          <w:rFonts w:hint="eastAsia" w:ascii="宋体" w:hAnsi="宋体" w:eastAsia="宋体" w:cs="宋体"/>
          <w:bCs/>
          <w:color w:val="auto"/>
          <w:sz w:val="21"/>
          <w:szCs w:val="21"/>
          <w:highlight w:val="none"/>
          <w:vertAlign w:val="subscript"/>
        </w:rPr>
        <w:t xml:space="preserve">2</w:t>
      </w:r>
      <w:r>
        <w:rPr>
          <w:rFonts w:hint="eastAsia" w:ascii="宋体" w:hAnsi="宋体" w:eastAsia="宋体" w:cs="宋体"/>
          <w:bCs/>
          <w:color w:val="auto"/>
          <w:sz w:val="21"/>
          <w:szCs w:val="21"/>
          <w:highlight w:val="none"/>
        </w:rPr>
        <w:t xml:space="preserve">：</w:t>
      </w:r>
      <w:r/>
    </w:p>
    <w:p>
      <w:pPr>
        <w:pStyle w:val="1040"/>
        <w:ind w:left="567" w:firstLine="0"/>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测量误差：≤±0.2%F.S.</w:t>
      </w:r>
      <w:r/>
    </w:p>
    <w:p>
      <w:pPr>
        <w:pStyle w:val="1040"/>
        <w:ind w:left="567" w:firstLine="0"/>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重复性：≤0.15%</w:t>
      </w:r>
      <w:r/>
    </w:p>
    <w:p>
      <w:pPr>
        <w:pStyle w:val="1040"/>
        <w:ind w:left="567" w:firstLine="0"/>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环境试验误差：≤±0.5%F.S.</w:t>
      </w:r>
      <w:r/>
    </w:p>
    <w:p>
      <w:pPr>
        <w:pStyle w:val="1040"/>
        <w:ind w:left="567" w:firstLine="0"/>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24h零点漂移：≤±0.5%F.S.</w:t>
      </w:r>
      <w:r/>
    </w:p>
    <w:p>
      <w:pPr>
        <w:pStyle w:val="1040"/>
        <w:ind w:left="567" w:firstLine="0"/>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24h量程漂移：≤±1%F.S.</w:t>
      </w:r>
      <w:r/>
    </w:p>
    <w:p>
      <w:pPr>
        <w:pStyle w:val="1040"/>
        <w:ind w:left="567" w:firstLine="0"/>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响应时间：≤3s</w:t>
      </w:r>
      <w:r/>
    </w:p>
    <w:p>
      <w:pPr>
        <w:ind w:left="567" w:firstLine="0"/>
        <w:jc w:val="left"/>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4）NO</w:t>
      </w:r>
      <w:r>
        <w:rPr>
          <w:rFonts w:hint="eastAsia" w:ascii="宋体" w:hAnsi="宋体" w:eastAsia="宋体" w:cs="宋体"/>
          <w:bCs/>
          <w:color w:val="auto"/>
          <w:sz w:val="21"/>
          <w:szCs w:val="21"/>
          <w:highlight w:val="none"/>
          <w:vertAlign w:val="subscript"/>
        </w:rPr>
        <w:t xml:space="preserve">2</w:t>
      </w:r>
      <w:r>
        <w:rPr>
          <w:rFonts w:hint="eastAsia" w:ascii="宋体" w:hAnsi="宋体" w:eastAsia="宋体" w:cs="宋体"/>
          <w:bCs/>
          <w:color w:val="auto"/>
          <w:sz w:val="21"/>
          <w:szCs w:val="21"/>
          <w:highlight w:val="none"/>
        </w:rPr>
        <w:t xml:space="preserve">：</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测量范围：0~500ppb</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测量误差：≤±0.1%F.S.</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重复性：≤0.15%</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环境试验误差：≤±0.85%F.S.</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24h零点漂移：≤±0.5%F.S.</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24h量程漂移：≤±1%F.S.</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响应时间：≤3s</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5）CO：</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测量范围：0~20ppm</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测量误差：≤±0.5%F.S.</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重复性：≤1%</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环境试验误差：≤±0.8%F.S.</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24h零点漂移：≤±1.0%F.S.</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24h量程漂移：≤±1.5%F.S.</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响应时间：≤3s</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6）O</w:t>
      </w:r>
      <w:r>
        <w:rPr>
          <w:rFonts w:hint="eastAsia" w:ascii="宋体" w:hAnsi="宋体" w:eastAsia="宋体" w:cs="宋体"/>
          <w:bCs/>
          <w:color w:val="auto"/>
          <w:sz w:val="21"/>
          <w:szCs w:val="21"/>
          <w:highlight w:val="none"/>
          <w:vertAlign w:val="subscript"/>
        </w:rPr>
        <w:t xml:space="preserve">3</w:t>
      </w:r>
      <w:r>
        <w:rPr>
          <w:rFonts w:hint="eastAsia" w:ascii="宋体" w:hAnsi="宋体" w:eastAsia="宋体" w:cs="宋体"/>
          <w:bCs/>
          <w:color w:val="auto"/>
          <w:sz w:val="21"/>
          <w:szCs w:val="21"/>
          <w:highlight w:val="none"/>
        </w:rPr>
        <w:t xml:space="preserve">：</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测量范围：0~500ppb</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测量误差：≤±0.2%F.S.</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重复性：≤0.1%</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环境试验误差：≤±0.5%F.S.</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24h零点漂移：≤±0.5%F.S.</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24h量程漂移：≤±1%F.S.</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响应时间：≤3s。</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7）TVOC:</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测量范围：0-10ppm</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测量误差：≤±1.0%F.S.</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重复性：≤0.1%</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环境试验误差：≤±1.15%F.S.</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24h零点漂移：≤±0.5%F.S.</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24h量程漂移：≤±1%F.S.</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响应时间：≤3s</w:t>
      </w:r>
      <w:r/>
    </w:p>
    <w:p>
      <w:pPr>
        <w:numPr>
          <w:ilvl w:val="0"/>
          <w:numId w:val="23"/>
        </w:numPr>
        <w:ind w:left="567" w:hanging="567"/>
        <w:jc w:val="both"/>
        <w:keepLines w:val="0"/>
        <w:keepNext w:val="0"/>
        <w:pageBreakBefore w:val="0"/>
        <w:spacing w:line="400" w:lineRule="exact"/>
        <w:widowControl w:val="off"/>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Cs/>
          <w:color w:val="auto"/>
          <w:sz w:val="21"/>
          <w:szCs w:val="21"/>
          <w:highlight w:val="none"/>
        </w:rPr>
        <w:t xml:space="preserve">应用模式要求（以下参数提供具有CMA资质认证机构出具的检验报告予以佐证）</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1）满足机载、车载、手持等多种方式的便携移动搭载，气体动力学扩散采样设计、高密度时空覆盖、多指标监测；</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2）支持多模式作业系统：单兵巡源、多人协同巡源、中心式调度巡源；</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3）供电方式：支持车载、机载、外接锂电池等多种供电方式，根据应用场合灵活选配。</w:t>
      </w:r>
      <w:r/>
    </w:p>
    <w:p>
      <w:pPr>
        <w:numPr>
          <w:ilvl w:val="0"/>
          <w:numId w:val="23"/>
        </w:numPr>
        <w:ind w:left="567" w:hanging="567"/>
        <w:jc w:val="both"/>
        <w:keepLines w:val="0"/>
        <w:keepNext w:val="0"/>
        <w:pageBreakBefore w:val="0"/>
        <w:spacing w:line="400" w:lineRule="exact"/>
        <w:widowControl w:val="off"/>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Cs/>
          <w:color w:val="auto"/>
          <w:sz w:val="21"/>
          <w:szCs w:val="21"/>
          <w:highlight w:val="none"/>
        </w:rPr>
        <w:t xml:space="preserve">软件平台技术要求（以下参数提供具有CMA资质认证机构出具的检验报告予以佐证）</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1）动态加载：实现完全模块化设计，支持参数化配置，支持组件及组件的动态加载</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2）数据分析能力：具备强大的数据分析能力，可实时数据分析展示，实时污染地图、实时告警、工作在线跟踪、实时污染源简报</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3）多任务融合分析能力：具备多条巡航记录的融合分析，实现多个空间环境的污染分布地图展示</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4）道路排名分析：便于车载走航分析时，自动统计各道路污染概括，并实现各道路的污染排名</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6）数据上传：平台具有参数实时上传功能（CO、O</w:t>
      </w:r>
      <w:r>
        <w:rPr>
          <w:rFonts w:hint="eastAsia" w:ascii="宋体" w:hAnsi="宋体" w:eastAsia="宋体" w:cs="宋体"/>
          <w:bCs/>
          <w:color w:val="auto"/>
          <w:sz w:val="21"/>
          <w:szCs w:val="21"/>
          <w:highlight w:val="none"/>
          <w:vertAlign w:val="subscript"/>
        </w:rPr>
        <w:t xml:space="preserve">3</w:t>
      </w:r>
      <w:r>
        <w:rPr>
          <w:rFonts w:hint="eastAsia" w:ascii="宋体" w:hAnsi="宋体" w:eastAsia="宋体" w:cs="宋体"/>
          <w:bCs/>
          <w:color w:val="auto"/>
          <w:sz w:val="21"/>
          <w:szCs w:val="21"/>
          <w:highlight w:val="none"/>
        </w:rPr>
        <w:t xml:space="preserve">、NO</w:t>
      </w:r>
      <w:r>
        <w:rPr>
          <w:rFonts w:hint="eastAsia" w:ascii="宋体" w:hAnsi="宋体" w:eastAsia="宋体" w:cs="宋体"/>
          <w:bCs/>
          <w:color w:val="auto"/>
          <w:sz w:val="21"/>
          <w:szCs w:val="21"/>
          <w:highlight w:val="none"/>
          <w:vertAlign w:val="subscript"/>
        </w:rPr>
        <w:t xml:space="preserve">2</w:t>
      </w:r>
      <w:r>
        <w:rPr>
          <w:rFonts w:hint="eastAsia" w:ascii="宋体" w:hAnsi="宋体" w:eastAsia="宋体" w:cs="宋体"/>
          <w:bCs/>
          <w:color w:val="auto"/>
          <w:sz w:val="21"/>
          <w:szCs w:val="21"/>
          <w:highlight w:val="none"/>
        </w:rPr>
        <w:t xml:space="preserve">、SO</w:t>
      </w:r>
      <w:r>
        <w:rPr>
          <w:rFonts w:hint="eastAsia" w:ascii="宋体" w:hAnsi="宋体" w:eastAsia="宋体" w:cs="宋体"/>
          <w:bCs/>
          <w:color w:val="auto"/>
          <w:sz w:val="21"/>
          <w:szCs w:val="21"/>
          <w:highlight w:val="none"/>
          <w:vertAlign w:val="subscript"/>
        </w:rPr>
        <w:t xml:space="preserve">2</w:t>
      </w:r>
      <w:r>
        <w:rPr>
          <w:rFonts w:hint="eastAsia" w:ascii="宋体" w:hAnsi="宋体" w:eastAsia="宋体" w:cs="宋体"/>
          <w:bCs/>
          <w:color w:val="auto"/>
          <w:sz w:val="21"/>
          <w:szCs w:val="21"/>
          <w:highlight w:val="none"/>
        </w:rPr>
        <w:t xml:space="preserve">、PM</w:t>
      </w:r>
      <w:r>
        <w:rPr>
          <w:rFonts w:hint="eastAsia" w:ascii="宋体" w:hAnsi="宋体" w:eastAsia="宋体" w:cs="宋体"/>
          <w:bCs/>
          <w:color w:val="auto"/>
          <w:sz w:val="21"/>
          <w:szCs w:val="21"/>
          <w:highlight w:val="none"/>
          <w:vertAlign w:val="subscript"/>
        </w:rPr>
        <w:t xml:space="preserve">2.5</w:t>
      </w:r>
      <w:r>
        <w:rPr>
          <w:rFonts w:hint="eastAsia" w:ascii="宋体" w:hAnsi="宋体" w:eastAsia="宋体" w:cs="宋体"/>
          <w:bCs/>
          <w:color w:val="auto"/>
          <w:sz w:val="21"/>
          <w:szCs w:val="21"/>
          <w:highlight w:val="none"/>
        </w:rPr>
        <w:t xml:space="preserve">、PM</w:t>
      </w:r>
      <w:r>
        <w:rPr>
          <w:rFonts w:hint="eastAsia" w:ascii="宋体" w:hAnsi="宋体" w:eastAsia="宋体" w:cs="宋体"/>
          <w:bCs/>
          <w:color w:val="auto"/>
          <w:sz w:val="21"/>
          <w:szCs w:val="21"/>
          <w:highlight w:val="none"/>
          <w:vertAlign w:val="subscript"/>
        </w:rPr>
        <w:t xml:space="preserve">10</w:t>
      </w:r>
      <w:r>
        <w:rPr>
          <w:rFonts w:hint="eastAsia" w:ascii="宋体" w:hAnsi="宋体" w:eastAsia="宋体" w:cs="宋体"/>
          <w:bCs/>
          <w:color w:val="auto"/>
          <w:sz w:val="21"/>
          <w:szCs w:val="21"/>
          <w:highlight w:val="none"/>
        </w:rPr>
        <w:t xml:space="preserve">、温度、湿度、经纬度、海拔、速度、卫星数等）</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7）移动终端：系统客户端兼容各种web浏览器和手机移动终端</w:t>
      </w:r>
      <w:r/>
    </w:p>
    <w:p>
      <w:pPr>
        <w:ind w:left="567" w:firstLine="0"/>
        <w:jc w:val="left"/>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8）安全性：具备统一且完善的安全机制，以保障被管理的设备资源的安全性。</w:t>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1"/>
          <w:szCs w:val="21"/>
          <w:highlight w:val="none"/>
          <w:lang w:val="en-US" w:eastAsia="zh-CN"/>
        </w:rPr>
        <w:t xml:space="preserve">基础保障要求</w:t>
      </w:r>
      <w:r/>
    </w:p>
    <w:p>
      <w:pPr>
        <w:numPr>
          <w:ilvl w:val="0"/>
          <w:numId w:val="24"/>
        </w:numPr>
        <w:ind w:left="425" w:hanging="425"/>
        <w:jc w:val="both"/>
        <w:keepLines w:val="0"/>
        <w:keepNext w:val="0"/>
        <w:pageBreakBefore w:val="0"/>
        <w:spacing w:line="400" w:lineRule="exact"/>
        <w:widowControl w:val="off"/>
        <w:tabs>
          <w:tab w:val="left" w:pos="567" w:leader="none"/>
        </w:tabs>
        <w:rPr>
          <w:rFonts w:hint="eastAsia" w:ascii="宋体" w:hAnsi="宋体" w:eastAsia="宋体" w:cs="宋体"/>
          <w:b w:val="0"/>
          <w:bCs w:val="0"/>
          <w:color w:val="auto"/>
          <w:sz w:val="21"/>
          <w:szCs w:val="21"/>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val="0"/>
          <w:color w:val="auto"/>
          <w:sz w:val="21"/>
          <w:szCs w:val="21"/>
          <w:highlight w:val="none"/>
        </w:rPr>
        <w:t xml:space="preserve">站房周边</w:t>
      </w:r>
      <w:r>
        <w:rPr>
          <w:rFonts w:hint="eastAsia" w:ascii="宋体" w:hAnsi="宋体" w:eastAsia="宋体" w:cs="宋体"/>
          <w:b w:val="0"/>
          <w:bCs w:val="0"/>
          <w:color w:val="auto"/>
          <w:sz w:val="21"/>
          <w:szCs w:val="21"/>
          <w:highlight w:val="none"/>
          <w:lang w:val="en-US" w:eastAsia="zh-CN"/>
        </w:rPr>
        <w:t xml:space="preserve">安装</w:t>
      </w:r>
      <w:r>
        <w:rPr>
          <w:rFonts w:hint="eastAsia" w:ascii="宋体" w:hAnsi="宋体" w:eastAsia="宋体" w:cs="宋体"/>
          <w:b w:val="0"/>
          <w:bCs w:val="0"/>
          <w:color w:val="auto"/>
          <w:sz w:val="21"/>
          <w:szCs w:val="21"/>
          <w:highlight w:val="none"/>
        </w:rPr>
        <w:t xml:space="preserve">非运维人员禁区提示牌</w:t>
      </w:r>
      <w:r>
        <w:rPr>
          <w:rFonts w:hint="eastAsia" w:ascii="宋体" w:hAnsi="宋体" w:eastAsia="宋体" w:cs="宋体"/>
          <w:b w:val="0"/>
          <w:bCs w:val="0"/>
          <w:color w:val="auto"/>
          <w:sz w:val="21"/>
          <w:szCs w:val="21"/>
          <w:highlight w:val="none"/>
          <w:lang w:eastAsia="zh-CN"/>
        </w:rPr>
        <w:t xml:space="preserve">；</w:t>
      </w:r>
      <w:r/>
    </w:p>
    <w:p>
      <w:pPr>
        <w:numPr>
          <w:ilvl w:val="0"/>
          <w:numId w:val="24"/>
        </w:numPr>
        <w:ind w:left="425" w:hanging="425"/>
        <w:jc w:val="both"/>
        <w:keepLines w:val="0"/>
        <w:keepNext w:val="0"/>
        <w:pageBreakBefore w:val="0"/>
        <w:spacing w:line="400" w:lineRule="exact"/>
        <w:widowControl w:val="off"/>
        <w:tabs>
          <w:tab w:val="left" w:pos="567" w:leader="none"/>
        </w:tabs>
        <w:rPr>
          <w:rFonts w:hint="eastAsia" w:ascii="宋体" w:hAnsi="宋体" w:eastAsia="宋体" w:cs="宋体"/>
          <w:b w:val="0"/>
          <w:bCs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val="0"/>
          <w:color w:val="auto"/>
          <w:sz w:val="21"/>
          <w:szCs w:val="21"/>
          <w:highlight w:val="none"/>
        </w:rPr>
        <w:t xml:space="preserve">采样区域设立警示标牌</w:t>
      </w:r>
      <w:r>
        <w:rPr>
          <w:rFonts w:hint="eastAsia" w:ascii="宋体" w:hAnsi="宋体" w:eastAsia="宋体" w:cs="宋体"/>
          <w:b w:val="0"/>
          <w:bCs w:val="0"/>
          <w:color w:val="auto"/>
          <w:spacing w:val="-23"/>
          <w:sz w:val="21"/>
          <w:szCs w:val="21"/>
          <w:highlight w:val="none"/>
        </w:rPr>
        <w:t xml:space="preserve">，</w:t>
      </w:r>
      <w:r>
        <w:rPr>
          <w:rFonts w:hint="eastAsia" w:ascii="宋体" w:hAnsi="宋体" w:eastAsia="宋体" w:cs="宋体"/>
          <w:b w:val="0"/>
          <w:bCs w:val="0"/>
          <w:color w:val="auto"/>
          <w:sz w:val="21"/>
          <w:szCs w:val="21"/>
          <w:highlight w:val="none"/>
        </w:rPr>
        <w:t xml:space="preserve">标牌醒目</w:t>
      </w:r>
      <w:r>
        <w:rPr>
          <w:rFonts w:hint="eastAsia" w:ascii="宋体" w:hAnsi="宋体" w:eastAsia="宋体" w:cs="宋体"/>
          <w:b w:val="0"/>
          <w:bCs w:val="0"/>
          <w:color w:val="auto"/>
          <w:spacing w:val="-23"/>
          <w:sz w:val="21"/>
          <w:szCs w:val="21"/>
          <w:highlight w:val="none"/>
        </w:rPr>
        <w:t xml:space="preserve">、</w:t>
      </w:r>
      <w:r>
        <w:rPr>
          <w:rFonts w:hint="eastAsia" w:ascii="宋体" w:hAnsi="宋体" w:eastAsia="宋体" w:cs="宋体"/>
          <w:b w:val="0"/>
          <w:bCs w:val="0"/>
          <w:color w:val="auto"/>
          <w:sz w:val="21"/>
          <w:szCs w:val="21"/>
          <w:highlight w:val="none"/>
        </w:rPr>
        <w:t xml:space="preserve">完好；</w:t>
      </w:r>
      <w:r/>
    </w:p>
    <w:p>
      <w:pPr>
        <w:numPr>
          <w:ilvl w:val="0"/>
          <w:numId w:val="24"/>
        </w:numPr>
        <w:ind w:left="425" w:hanging="425"/>
        <w:jc w:val="both"/>
        <w:keepLines w:val="0"/>
        <w:keepNext w:val="0"/>
        <w:pageBreakBefore w:val="0"/>
        <w:spacing w:line="400" w:lineRule="exact"/>
        <w:widowControl w:val="off"/>
        <w:tabs>
          <w:tab w:val="left" w:pos="567" w:leader="none"/>
        </w:tabs>
        <w:rPr>
          <w:rFonts w:hint="eastAsia" w:ascii="宋体" w:hAnsi="宋体" w:eastAsia="宋体" w:cs="宋体"/>
          <w:b w:val="0"/>
          <w:bCs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val="0"/>
          <w:color w:val="auto"/>
          <w:sz w:val="21"/>
          <w:szCs w:val="21"/>
          <w:highlight w:val="none"/>
        </w:rPr>
        <w:t xml:space="preserve">通往站房和采样平台通道唯一</w:t>
      </w:r>
      <w:r>
        <w:rPr>
          <w:rFonts w:hint="eastAsia" w:ascii="宋体" w:hAnsi="宋体" w:eastAsia="宋体" w:cs="宋体"/>
          <w:b w:val="0"/>
          <w:bCs w:val="0"/>
          <w:color w:val="auto"/>
          <w:spacing w:val="-39"/>
          <w:sz w:val="21"/>
          <w:szCs w:val="21"/>
          <w:highlight w:val="none"/>
        </w:rPr>
        <w:t xml:space="preserve">，</w:t>
      </w:r>
      <w:r>
        <w:rPr>
          <w:rFonts w:hint="eastAsia" w:ascii="宋体" w:hAnsi="宋体" w:eastAsia="宋体" w:cs="宋体"/>
          <w:b w:val="0"/>
          <w:bCs w:val="0"/>
          <w:color w:val="auto"/>
          <w:sz w:val="21"/>
          <w:szCs w:val="21"/>
          <w:highlight w:val="none"/>
        </w:rPr>
        <w:t xml:space="preserve">且安装门锁；</w:t>
      </w:r>
      <w:r/>
    </w:p>
    <w:p>
      <w:pPr>
        <w:numPr>
          <w:ilvl w:val="0"/>
          <w:numId w:val="24"/>
        </w:numPr>
        <w:ind w:left="425" w:hanging="425"/>
        <w:jc w:val="both"/>
        <w:keepLines w:val="0"/>
        <w:keepNext w:val="0"/>
        <w:pageBreakBefore w:val="0"/>
        <w:spacing w:line="400" w:lineRule="exact"/>
        <w:widowControl w:val="off"/>
        <w:tabs>
          <w:tab w:val="left" w:pos="567" w:leader="none"/>
        </w:tabs>
        <w:rPr>
          <w:rFonts w:hint="eastAsia" w:ascii="宋体" w:hAnsi="宋体" w:eastAsia="宋体" w:cs="宋体"/>
          <w:b w:val="0"/>
          <w:bCs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val="0"/>
          <w:color w:val="auto"/>
          <w:sz w:val="21"/>
          <w:szCs w:val="21"/>
          <w:highlight w:val="none"/>
          <w:lang w:val="en-US" w:eastAsia="zh-CN"/>
        </w:rPr>
        <w:t xml:space="preserve">保障</w:t>
      </w:r>
      <w:r>
        <w:rPr>
          <w:rFonts w:hint="eastAsia" w:ascii="宋体" w:hAnsi="宋体" w:eastAsia="宋体" w:cs="宋体"/>
          <w:b w:val="0"/>
          <w:bCs w:val="0"/>
          <w:color w:val="auto"/>
          <w:sz w:val="21"/>
          <w:szCs w:val="21"/>
          <w:highlight w:val="none"/>
        </w:rPr>
        <w:t xml:space="preserve">站房楼顶防护栏高度≥1.2m</w:t>
      </w:r>
      <w:r>
        <w:rPr>
          <w:rFonts w:hint="eastAsia" w:ascii="宋体" w:hAnsi="宋体" w:eastAsia="宋体" w:cs="宋体"/>
          <w:b w:val="0"/>
          <w:bCs w:val="0"/>
          <w:color w:val="auto"/>
          <w:sz w:val="21"/>
          <w:szCs w:val="21"/>
          <w:highlight w:val="none"/>
          <w:lang w:eastAsia="zh-CN"/>
        </w:rPr>
        <w:t xml:space="preserve">。</w:t>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color w:val="auto"/>
          <w:sz w:val="21"/>
          <w:szCs w:val="21"/>
          <w:highlight w:val="none"/>
        </w:rPr>
        <w:t xml:space="preserve">运维技术要求</w:t>
      </w:r>
      <w:r/>
    </w:p>
    <w:p>
      <w:pPr>
        <w:numPr>
          <w:ilvl w:val="0"/>
          <w:numId w:val="25"/>
        </w:numPr>
        <w:ind w:left="567" w:hanging="567"/>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val="0"/>
          <w:color w:val="auto"/>
          <w:sz w:val="21"/>
          <w:szCs w:val="21"/>
          <w:highlight w:val="none"/>
        </w:rPr>
        <w:t xml:space="preserve">有完善的管理制度及技术人员培训制度，指定项目负责人，成交后在苏州市设立固定的办公场所，保证在苏州市至少3名空气自动站维护技术人员（须提供近三个月响应单位为其缴纳的社保记录）与2辆运维专车；对于站点出现的故障，应2小时内赶到现场，4小时内解决故障。</w:t>
      </w:r>
      <w:r/>
    </w:p>
    <w:p>
      <w:pPr>
        <w:numPr>
          <w:ilvl w:val="0"/>
          <w:numId w:val="25"/>
        </w:numPr>
        <w:ind w:left="567" w:hanging="567"/>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val="0"/>
          <w:color w:val="auto"/>
          <w:sz w:val="21"/>
          <w:szCs w:val="21"/>
          <w:highlight w:val="none"/>
        </w:rPr>
        <w:t xml:space="preserve">配备日常运行管理过程中涉及的常用工具、校准设备等。如流量计、温度计、气压计等。</w:t>
      </w:r>
      <w:r/>
    </w:p>
    <w:p>
      <w:pPr>
        <w:numPr>
          <w:ilvl w:val="0"/>
          <w:numId w:val="25"/>
        </w:numPr>
        <w:ind w:left="567" w:hanging="567"/>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val="0"/>
          <w:color w:val="auto"/>
          <w:sz w:val="21"/>
          <w:szCs w:val="21"/>
          <w:highlight w:val="none"/>
        </w:rPr>
        <w:t xml:space="preserve">耗材备件</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成交单位须在苏州市服务点配备充足的与本项目同型号的主要仪器备件常用的耗材备件，如仪器设备校准使用的标准气体、过滤膜、纸带、滤芯、泵维护包、颗粒物仪器的干燥管等。耗材、备件的使用和管理应有相应的记录备查。由于缺少相应的耗材、备件，导致仪器不能正常使用、数据缺失的，采购方按照空气站管理办法扣除一定的费用，直至解除合同。</w:t>
      </w:r>
      <w:r/>
    </w:p>
    <w:p>
      <w:pPr>
        <w:numPr>
          <w:ilvl w:val="0"/>
          <w:numId w:val="25"/>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val="0"/>
          <w:color w:val="auto"/>
          <w:sz w:val="21"/>
          <w:szCs w:val="21"/>
          <w:highlight w:val="none"/>
        </w:rPr>
        <w:t xml:space="preserve">标准</w:t>
      </w:r>
      <w:r>
        <w:rPr>
          <w:rFonts w:hint="eastAsia" w:ascii="宋体" w:hAnsi="宋体" w:eastAsia="宋体" w:cs="宋体"/>
          <w:color w:val="auto"/>
          <w:sz w:val="21"/>
          <w:szCs w:val="21"/>
          <w:highlight w:val="none"/>
        </w:rPr>
        <w:t xml:space="preserve">物质的使用</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空气站校准维护的标准气体必须为国家标物中心或环保部标样所产品。新购标准气体成交单位必须做验证实验，形成验证报告，另外，在用标准气体当钢瓶压力低于500PSIG时，标准需要进行重新验证，当钢瓶压力低于150PSIG(1.0MPa)时,停止使用。标准气体必须在有效期内使用。</w:t>
      </w:r>
      <w:r/>
    </w:p>
    <w:p>
      <w:pPr>
        <w:numPr>
          <w:ilvl w:val="0"/>
          <w:numId w:val="25"/>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工作计划的制定</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成交单位及时制定运维计划，并严格按计划执行，若有变更须及时通知采购人。每月初提供月度总结。</w:t>
      </w:r>
      <w:r/>
    </w:p>
    <w:p>
      <w:pPr>
        <w:numPr>
          <w:ilvl w:val="0"/>
          <w:numId w:val="25"/>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财产保护和数据保密</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委托运行管理及维修的全部资产（包括全部产权和建筑物、设备及配套设施）属采购人。未经采购人同意，成交单位不得以任何方式对采购人各类财产进行出售、抵押、转移及调换。</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在委托管理期间，成交单位应对系统状况和数据严格保密。未经采购人同意，成交单位不得利用本项目的所有资料对外开展技术交流、业务联系、数据交换等。</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注：成交单位违反上述条款中任何一条要求，采购方有权直接终止合同，列入不良单位名单并通报。</w:t>
      </w:r>
      <w:r/>
    </w:p>
    <w:p>
      <w:pPr>
        <w:numPr>
          <w:ilvl w:val="0"/>
          <w:numId w:val="25"/>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日常运维记录</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成交单位应建立空气自动站维护档案，将空气自动站的运行过程和运行事件进行详细记录，并进行归档管理。日常运营中使用运行管理相关记录表至少应包括以下表格：空气自动监测站运行维护记录表；空气自动监测系统仪器设备维修记录表；空气自动监测系统备品备件管理、使用记录表；多点线性校准表格；钼炉转换效率表格；精密度检查表格；准确度检查表格；标准物质使用记录；颗粒监测仪校准记录。可根据管理需求进行调整或修订，调整或修订时需报采购方确认。</w:t>
      </w:r>
      <w:r/>
    </w:p>
    <w:p>
      <w:pPr>
        <w:numPr>
          <w:ilvl w:val="0"/>
          <w:numId w:val="25"/>
        </w:numPr>
        <w:ind w:left="567"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运维管理内容</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要求托管过程中完成以下几项工作：</w:t>
      </w:r>
      <w:r/>
    </w:p>
    <w:p>
      <w:pPr>
        <w:numPr>
          <w:ilvl w:val="0"/>
          <w:numId w:val="26"/>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12个环境空气自动监测站的日常运行维护；</w:t>
      </w:r>
      <w:r/>
    </w:p>
    <w:p>
      <w:pPr>
        <w:numPr>
          <w:ilvl w:val="0"/>
          <w:numId w:val="26"/>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12个环境空气自动监测站的设备维护及维修；</w:t>
      </w:r>
      <w:r/>
    </w:p>
    <w:p>
      <w:pPr>
        <w:numPr>
          <w:ilvl w:val="0"/>
          <w:numId w:val="26"/>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12个环境空气自动监测站的质量管理； </w:t>
      </w:r>
      <w:r/>
    </w:p>
    <w:p>
      <w:pPr>
        <w:numPr>
          <w:ilvl w:val="0"/>
          <w:numId w:val="26"/>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大型活动或会议的环境空气质量保障工作；</w:t>
      </w:r>
      <w:r/>
    </w:p>
    <w:p>
      <w:pPr>
        <w:numPr>
          <w:ilvl w:val="0"/>
          <w:numId w:val="26"/>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突发性环境应急事故的辅助分析工作；</w:t>
      </w:r>
      <w:r/>
    </w:p>
    <w:p>
      <w:pPr>
        <w:numPr>
          <w:ilvl w:val="0"/>
          <w:numId w:val="26"/>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数据分析及应用工作；</w:t>
      </w:r>
      <w:r/>
    </w:p>
    <w:p>
      <w:pPr>
        <w:numPr>
          <w:ilvl w:val="0"/>
          <w:numId w:val="26"/>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子站通讯及数据采集系统的维护及维修、通讯保障。</w:t>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color w:val="auto"/>
          <w:sz w:val="21"/>
          <w:szCs w:val="21"/>
          <w:highlight w:val="none"/>
        </w:rPr>
        <w:t xml:space="preserve">具体运维要求</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运维单位应遵守省国家、省市关于空气自动站运行管理的各项规定，如运维期间出台新的运行管理规定，则运维工作按最新规定执行。</w:t>
      </w:r>
      <w:r/>
    </w:p>
    <w:p>
      <w:pPr>
        <w:numPr>
          <w:ilvl w:val="0"/>
          <w:numId w:val="27"/>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一般要求</w:t>
      </w:r>
      <w:r/>
    </w:p>
    <w:p>
      <w:pPr>
        <w:numPr>
          <w:ilvl w:val="0"/>
          <w:numId w:val="2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对站房周围的杂草和积水应及时清除，当周围树木生长超过规范规定的控制限时，对采样有影响的树枝等应及时进行剪除；</w:t>
      </w:r>
      <w:r/>
    </w:p>
    <w:p>
      <w:pPr>
        <w:numPr>
          <w:ilvl w:val="0"/>
          <w:numId w:val="2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检查外部环境是否正常，有没有对测定结果或运行环境存在明显影响的污染源，一旦发现污染源，应及时在运维记录上记录，并通知采购方；</w:t>
      </w:r>
      <w:r/>
    </w:p>
    <w:p>
      <w:pPr>
        <w:numPr>
          <w:ilvl w:val="0"/>
          <w:numId w:val="2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检查站房是否有漏雨现象，气象杆和天线是否被刮坏，站房外围的其它设施是否有损坏或被水淹，如遇到以上问题应及时处理，保证系统能安全运行；</w:t>
      </w:r>
      <w:r/>
    </w:p>
    <w:p>
      <w:pPr>
        <w:numPr>
          <w:ilvl w:val="0"/>
          <w:numId w:val="2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保持站房内部环境清洁，布置整齐，无监测无关物品，各仪器设备干净清洁，设备标识清楚；</w:t>
      </w:r>
      <w:r/>
    </w:p>
    <w:p>
      <w:pPr>
        <w:numPr>
          <w:ilvl w:val="0"/>
          <w:numId w:val="2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在冬、夏季节应注意站房室内外温差，若温差较大使采样装置出现冷凝水，应及时改变站房温度或对采样总管采取适当的控制措施，防止冷凝现象；</w:t>
      </w:r>
      <w:r/>
    </w:p>
    <w:p>
      <w:pPr>
        <w:numPr>
          <w:ilvl w:val="0"/>
          <w:numId w:val="2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保证仪器运行电源电压正常，空调正常工作，环境温度保持在25℃左右，上下不超过5℃，湿度保持在80%RH以下；</w:t>
      </w:r>
      <w:r/>
    </w:p>
    <w:p>
      <w:pPr>
        <w:numPr>
          <w:ilvl w:val="0"/>
          <w:numId w:val="2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检查供电、通讯、数据采集与传输等情况，保证系统的正常运行；</w:t>
      </w:r>
      <w:r/>
    </w:p>
    <w:p>
      <w:pPr>
        <w:numPr>
          <w:ilvl w:val="0"/>
          <w:numId w:val="2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设备固定牢固，门窗关闭良好，人走关门，非工作人员未经许可不得入内。检查站房的安全设施，做好防火防盗工作，站房内发生仪器物品丢失、火灾等意外情况，责任由成交单位负责；</w:t>
      </w:r>
      <w:r/>
    </w:p>
    <w:p>
      <w:pPr>
        <w:numPr>
          <w:ilvl w:val="0"/>
          <w:numId w:val="2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进行维护时，应规范操作，注意安全，防止意外发生，由人员操作不当导致的伤亡事件，责任由成交单位负责；</w:t>
      </w:r>
      <w:r/>
    </w:p>
    <w:p>
      <w:pPr>
        <w:numPr>
          <w:ilvl w:val="0"/>
          <w:numId w:val="2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检查站房的排风排气装置工作是否正常；</w:t>
      </w:r>
      <w:r/>
    </w:p>
    <w:p>
      <w:pPr>
        <w:numPr>
          <w:ilvl w:val="0"/>
          <w:numId w:val="2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标准气钢瓶阀门是否漏气，标准气的消耗情况；</w:t>
      </w:r>
      <w:r/>
    </w:p>
    <w:p>
      <w:pPr>
        <w:numPr>
          <w:ilvl w:val="0"/>
          <w:numId w:val="2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检查采样和排气管路是否有漏气或堵塞现象；</w:t>
      </w:r>
      <w:r/>
    </w:p>
    <w:p>
      <w:pPr>
        <w:numPr>
          <w:ilvl w:val="0"/>
          <w:numId w:val="2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检查各仪器运行状况否正常，保证仪器正常有效运行；</w:t>
      </w:r>
      <w:r/>
    </w:p>
    <w:p>
      <w:pPr>
        <w:numPr>
          <w:ilvl w:val="0"/>
          <w:numId w:val="2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根据仪器报警信息及数据情况判断仪器运行情况，发现仪器运行异常或数据有异常值时，应立即通知采购方，并在2小时内前往现场，并在4小时内排除故障，4小时内无法排除故障，应立即启用备机。若采购方通知成交单位，告知仪器异常时，成交单位应作出同样的响应。</w:t>
      </w:r>
      <w:r/>
    </w:p>
    <w:p>
      <w:pPr>
        <w:numPr>
          <w:ilvl w:val="0"/>
          <w:numId w:val="27"/>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具体要求</w:t>
      </w:r>
      <w:r/>
    </w:p>
    <w:p>
      <w:pPr>
        <w:numPr>
          <w:ilvl w:val="0"/>
          <w:numId w:val="29"/>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每周工作</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成交单位每周至少巡检空气自动站一次，每次维护后做好运行维护记录。每周运维内容涵盖一般要求的所有项目。</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此外，每周对所有的气态仪器进行零点、标点检查，根据实际情况进行校准。每周检查监测仪器的采样入口与采样支路管线结合部之间安装的过滤膜的污染情况，若发现过滤膜明显污染应及时更换。</w:t>
      </w:r>
      <w:r/>
    </w:p>
    <w:p>
      <w:pPr>
        <w:numPr>
          <w:ilvl w:val="0"/>
          <w:numId w:val="29"/>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每月工作</w:t>
      </w:r>
      <w:r/>
    </w:p>
    <w:p>
      <w:pPr>
        <w:numPr>
          <w:ilvl w:val="0"/>
          <w:numId w:val="30"/>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清洗各仪器采样头、切割器，并检查切割器O型密封圈等部件；</w:t>
      </w:r>
      <w:r/>
    </w:p>
    <w:p>
      <w:pPr>
        <w:numPr>
          <w:ilvl w:val="0"/>
          <w:numId w:val="30"/>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检查颗粒物分析仪的ABS值，时钟校准；</w:t>
      </w:r>
      <w:r/>
    </w:p>
    <w:p>
      <w:pPr>
        <w:numPr>
          <w:ilvl w:val="0"/>
          <w:numId w:val="30"/>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检查各分析仪器的流量，必要时作流量校准；</w:t>
      </w:r>
      <w:r/>
    </w:p>
    <w:p>
      <w:pPr>
        <w:numPr>
          <w:ilvl w:val="0"/>
          <w:numId w:val="30"/>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检查各分析仪器的精密度。</w:t>
      </w:r>
      <w:r/>
    </w:p>
    <w:p>
      <w:pPr>
        <w:numPr>
          <w:ilvl w:val="0"/>
          <w:numId w:val="29"/>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每季度工作</w:t>
      </w:r>
      <w:r/>
    </w:p>
    <w:p>
      <w:pPr>
        <w:numPr>
          <w:ilvl w:val="0"/>
          <w:numId w:val="31"/>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对气态分析仪进行多点线性检查；</w:t>
      </w:r>
      <w:r/>
    </w:p>
    <w:p>
      <w:pPr>
        <w:numPr>
          <w:ilvl w:val="0"/>
          <w:numId w:val="31"/>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采用臭氧校准仪对各子站的臭氧仪器进行溯源；</w:t>
      </w:r>
      <w:r/>
    </w:p>
    <w:p>
      <w:pPr>
        <w:numPr>
          <w:ilvl w:val="0"/>
          <w:numId w:val="31"/>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清洗空调机的过滤网。</w:t>
      </w:r>
      <w:r/>
    </w:p>
    <w:p>
      <w:pPr>
        <w:numPr>
          <w:ilvl w:val="0"/>
          <w:numId w:val="31"/>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对动态稀释气体校准仪流量进行多点检查，必要时校准，并开具校准报告</w:t>
      </w:r>
      <w:r>
        <w:rPr>
          <w:rFonts w:hint="eastAsia" w:ascii="宋体" w:hAnsi="宋体" w:eastAsia="宋体" w:cs="宋体"/>
          <w:color w:val="auto"/>
          <w:sz w:val="21"/>
          <w:szCs w:val="21"/>
          <w:highlight w:val="none"/>
          <w:lang w:eastAsia="zh-CN"/>
        </w:rPr>
        <w:t xml:space="preserve">。</w:t>
      </w:r>
      <w:r/>
    </w:p>
    <w:p>
      <w:pPr>
        <w:numPr>
          <w:ilvl w:val="0"/>
          <w:numId w:val="29"/>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每半年工作</w:t>
      </w:r>
      <w:r/>
    </w:p>
    <w:p>
      <w:pPr>
        <w:numPr>
          <w:ilvl w:val="0"/>
          <w:numId w:val="32"/>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对颗粒物分析仪检测湿度和温度传感器、检查动态加热装置是否正常工作；</w:t>
      </w:r>
      <w:r/>
    </w:p>
    <w:p>
      <w:pPr>
        <w:numPr>
          <w:ilvl w:val="0"/>
          <w:numId w:val="32"/>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采样总管及采样风机清洗。</w:t>
      </w:r>
      <w:r/>
    </w:p>
    <w:p>
      <w:pPr>
        <w:numPr>
          <w:ilvl w:val="0"/>
          <w:numId w:val="29"/>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每年工作</w:t>
      </w:r>
      <w:r/>
    </w:p>
    <w:p>
      <w:pPr>
        <w:numPr>
          <w:ilvl w:val="0"/>
          <w:numId w:val="33"/>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采用臭氧标准源对子站校准设备进行传递；</w:t>
      </w:r>
      <w:r/>
    </w:p>
    <w:p>
      <w:pPr>
        <w:numPr>
          <w:ilvl w:val="0"/>
          <w:numId w:val="33"/>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对氮氧化物分析仪钼炉转化率进行检查；</w:t>
      </w:r>
      <w:r/>
    </w:p>
    <w:p>
      <w:pPr>
        <w:numPr>
          <w:ilvl w:val="0"/>
          <w:numId w:val="33"/>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对各气态仪器进行准确度检查；</w:t>
      </w:r>
      <w:r/>
    </w:p>
    <w:p>
      <w:pPr>
        <w:numPr>
          <w:ilvl w:val="0"/>
          <w:numId w:val="33"/>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流量计、气压计、温度计等设备送计量部门检定，并保存好检定报告；</w:t>
      </w:r>
      <w:r/>
    </w:p>
    <w:p>
      <w:pPr>
        <w:numPr>
          <w:ilvl w:val="0"/>
          <w:numId w:val="33"/>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站点的消防设施进行检查，保证在有效期内；</w:t>
      </w:r>
      <w:r/>
    </w:p>
    <w:p>
      <w:pPr>
        <w:numPr>
          <w:ilvl w:val="0"/>
          <w:numId w:val="33"/>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检查站点的防雷设施；</w:t>
      </w:r>
      <w:r/>
    </w:p>
    <w:p>
      <w:pPr>
        <w:numPr>
          <w:ilvl w:val="0"/>
          <w:numId w:val="33"/>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更换所有仪器的泵组件；</w:t>
      </w:r>
      <w:r/>
    </w:p>
    <w:p>
      <w:pPr>
        <w:numPr>
          <w:ilvl w:val="0"/>
          <w:numId w:val="33"/>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监测仪器系统的性能检查，包括线性、零点漂移、量程漂移、精密度、准确度、平均无故障连续运行时间。性能检查应满足以下要求：1)光度法的重复性、漂移实验、直线性实验方法符合国家有关空气自动分析仪技术要求的规定，实验结果符合国家有关空气自动分析仪技术要求的规定。2)对于用β射线法的颗粒物监测仪器，每3个月至少进行一次流量、温度和压力校准。校准后使用内置标准膜或外置标准膜进行标定和校正。</w:t>
      </w:r>
      <w:r/>
    </w:p>
    <w:p>
      <w:pPr>
        <w:numPr>
          <w:ilvl w:val="0"/>
          <w:numId w:val="29"/>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不定期工作</w:t>
      </w:r>
      <w:r/>
    </w:p>
    <w:p>
      <w:pPr>
        <w:numPr>
          <w:ilvl w:val="0"/>
          <w:numId w:val="34"/>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根据实际使用情况更换颗粒物分析仪滤纸带、称重膜、雨水分离器滤芯、旁路过滤器、小滤芯等；</w:t>
      </w:r>
      <w:r/>
    </w:p>
    <w:p>
      <w:pPr>
        <w:numPr>
          <w:ilvl w:val="0"/>
          <w:numId w:val="34"/>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根据实际需要更换零气源活性炭和氧化剂，对零气性能进行检查。</w:t>
      </w:r>
      <w:r/>
    </w:p>
    <w:p>
      <w:pPr>
        <w:numPr>
          <w:ilvl w:val="0"/>
          <w:numId w:val="29"/>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其他</w:t>
      </w:r>
      <w:r/>
    </w:p>
    <w:p>
      <w:pPr>
        <w:numPr>
          <w:ilvl w:val="0"/>
          <w:numId w:val="35"/>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分析仪有以下情况需进行校准和再校准：移动位置时；进行可能影响校准结果的维修或维护后；分析仪暂停工作一段时间后；有迹象表明分析仪工作不正常或校准结果出现变化。</w:t>
      </w:r>
      <w:r/>
    </w:p>
    <w:p>
      <w:pPr>
        <w:numPr>
          <w:ilvl w:val="0"/>
          <w:numId w:val="35"/>
        </w:numPr>
        <w:ind w:left="1020" w:hanging="453"/>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仪器大修后（更换设备测试关键部件），应按顺序进行漂移实验（零点漂移、量程漂移）、重复性及准确度实验、多点线性实验。</w:t>
      </w:r>
      <w:r/>
    </w:p>
    <w:p>
      <w:pPr>
        <w:numPr>
          <w:ilvl w:val="0"/>
          <w:numId w:val="29"/>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技术规范</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成交单位的所有运维工作必须符合：《环境空气颗粒物(PM</w:t>
      </w:r>
      <w:r>
        <w:rPr>
          <w:rFonts w:hint="eastAsia" w:ascii="宋体" w:hAnsi="宋体" w:eastAsia="宋体" w:cs="宋体"/>
          <w:color w:val="auto"/>
          <w:sz w:val="21"/>
          <w:szCs w:val="21"/>
          <w:highlight w:val="none"/>
          <w:vertAlign w:val="subscript"/>
        </w:rPr>
        <w:t xml:space="preserve">10</w:t>
      </w:r>
      <w:r>
        <w:rPr>
          <w:rFonts w:hint="eastAsia" w:ascii="宋体" w:hAnsi="宋体" w:eastAsia="宋体" w:cs="宋体"/>
          <w:color w:val="auto"/>
          <w:sz w:val="21"/>
          <w:szCs w:val="21"/>
          <w:highlight w:val="none"/>
        </w:rPr>
        <w:t xml:space="preserve">和PM</w:t>
      </w:r>
      <w:r>
        <w:rPr>
          <w:rFonts w:hint="eastAsia" w:ascii="宋体" w:hAnsi="宋体" w:eastAsia="宋体" w:cs="宋体"/>
          <w:color w:val="auto"/>
          <w:sz w:val="21"/>
          <w:szCs w:val="21"/>
          <w:highlight w:val="none"/>
          <w:vertAlign w:val="subscript"/>
        </w:rPr>
        <w:t xml:space="preserve">2.5</w:t>
      </w:r>
      <w:r>
        <w:rPr>
          <w:rFonts w:hint="eastAsia" w:ascii="宋体" w:hAnsi="宋体" w:eastAsia="宋体" w:cs="宋体"/>
          <w:color w:val="auto"/>
          <w:sz w:val="21"/>
          <w:szCs w:val="21"/>
          <w:highlight w:val="none"/>
        </w:rPr>
        <w:t xml:space="preserve">)连续自动监测系统运行和质控技术规范(HJ 817-2018)》及《环境空气气态污染物（SO</w:t>
      </w:r>
      <w:r>
        <w:rPr>
          <w:rFonts w:hint="eastAsia" w:ascii="宋体" w:hAnsi="宋体" w:eastAsia="宋体" w:cs="宋体"/>
          <w:color w:val="auto"/>
          <w:sz w:val="21"/>
          <w:szCs w:val="21"/>
          <w:highlight w:val="none"/>
          <w:vertAlign w:val="subscript"/>
        </w:rPr>
        <w:t xml:space="preserve">2</w:t>
      </w:r>
      <w:r>
        <w:rPr>
          <w:rFonts w:hint="eastAsia" w:ascii="宋体" w:hAnsi="宋体" w:eastAsia="宋体" w:cs="宋体"/>
          <w:color w:val="auto"/>
          <w:sz w:val="21"/>
          <w:szCs w:val="21"/>
          <w:highlight w:val="none"/>
        </w:rPr>
        <w:t xml:space="preserve">、NO</w:t>
      </w:r>
      <w:r>
        <w:rPr>
          <w:rFonts w:hint="eastAsia" w:ascii="宋体" w:hAnsi="宋体" w:eastAsia="宋体" w:cs="宋体"/>
          <w:color w:val="auto"/>
          <w:sz w:val="21"/>
          <w:szCs w:val="21"/>
          <w:highlight w:val="none"/>
          <w:vertAlign w:val="subscript"/>
        </w:rPr>
        <w:t xml:space="preserve">2</w:t>
      </w:r>
      <w:r>
        <w:rPr>
          <w:rFonts w:hint="eastAsia" w:ascii="宋体" w:hAnsi="宋体" w:eastAsia="宋体" w:cs="宋体"/>
          <w:color w:val="auto"/>
          <w:sz w:val="21"/>
          <w:szCs w:val="21"/>
          <w:highlight w:val="none"/>
        </w:rPr>
        <w:t xml:space="preserve">、O</w:t>
      </w:r>
      <w:r>
        <w:rPr>
          <w:rFonts w:hint="eastAsia" w:ascii="宋体" w:hAnsi="宋体" w:eastAsia="宋体" w:cs="宋体"/>
          <w:color w:val="auto"/>
          <w:sz w:val="21"/>
          <w:szCs w:val="21"/>
          <w:highlight w:val="none"/>
          <w:vertAlign w:val="subscript"/>
        </w:rPr>
        <w:t xml:space="preserve">3</w:t>
      </w:r>
      <w:r>
        <w:rPr>
          <w:rFonts w:hint="eastAsia" w:ascii="宋体" w:hAnsi="宋体" w:eastAsia="宋体" w:cs="宋体"/>
          <w:color w:val="auto"/>
          <w:sz w:val="21"/>
          <w:szCs w:val="21"/>
          <w:highlight w:val="none"/>
        </w:rPr>
        <w:t xml:space="preserve">、CO）连续自动监测系统运行和质控技术规范(HJ 818-2018)》的要求，如有不一致的地方，以技术规范为准。</w:t>
      </w:r>
      <w:r/>
    </w:p>
    <w:p>
      <w:pPr>
        <w:numPr>
          <w:ilvl w:val="0"/>
          <w:numId w:val="27"/>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本次12个</w:t>
      </w:r>
      <w:r>
        <w:rPr>
          <w:rFonts w:hint="eastAsia" w:ascii="宋体" w:hAnsi="宋体" w:eastAsia="宋体" w:cs="宋体"/>
          <w:color w:val="auto"/>
          <w:spacing w:val="2"/>
          <w:sz w:val="21"/>
          <w:szCs w:val="21"/>
          <w:highlight w:val="none"/>
        </w:rPr>
        <w:t xml:space="preserve">乡镇（街道）</w:t>
      </w:r>
      <w:r>
        <w:rPr>
          <w:rFonts w:hint="eastAsia" w:ascii="宋体" w:hAnsi="宋体" w:eastAsia="宋体" w:cs="宋体"/>
          <w:color w:val="auto"/>
          <w:sz w:val="21"/>
          <w:szCs w:val="21"/>
          <w:highlight w:val="none"/>
        </w:rPr>
        <w:t xml:space="preserve">运维保障内容要求如下：</w:t>
      </w:r>
      <w:r/>
    </w:p>
    <w:p>
      <w:pPr>
        <w:ind w:left="0" w:right="0" w:firstLine="480"/>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（1）负责保障站房的外围安全、外部电力供应及网络通讯，及时向采购方报送站点的供电、通信和周边环境等的异常情况，协调解决电力供应和网络通讯问题。</w:t>
      </w:r>
      <w:r/>
    </w:p>
    <w:p>
      <w:pPr>
        <w:ind w:left="0" w:right="0" w:firstLine="480"/>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（2）对采购方现有的环境空气自动监测设备进行定期的维护保养，保证设备的性能，需要备用机时能够第一时间提供。</w:t>
      </w:r>
      <w:r/>
    </w:p>
    <w:p>
      <w:pPr>
        <w:ind w:left="0" w:right="0" w:firstLine="480"/>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（3）应根据采购人的要求，开展</w:t>
      </w:r>
      <w:r>
        <w:rPr>
          <w:rFonts w:hint="eastAsia" w:ascii="宋体" w:hAnsi="宋体" w:eastAsia="宋体" w:cs="宋体"/>
          <w:color w:val="auto"/>
          <w:spacing w:val="2"/>
          <w:sz w:val="21"/>
          <w:szCs w:val="21"/>
          <w:highlight w:val="none"/>
        </w:rPr>
        <w:t xml:space="preserve">乡镇（街道）</w:t>
      </w:r>
      <w:r>
        <w:rPr>
          <w:rFonts w:hint="eastAsia" w:ascii="宋体" w:hAnsi="宋体" w:eastAsia="宋体" w:cs="宋体"/>
          <w:color w:val="auto"/>
          <w:sz w:val="21"/>
          <w:szCs w:val="21"/>
          <w:highlight w:val="none"/>
        </w:rPr>
        <w:t xml:space="preserve">环境空气自动监测相关的其他保障工作。</w:t>
      </w:r>
      <w:r/>
    </w:p>
    <w:p>
      <w:pPr>
        <w:numPr>
          <w:ilvl w:val="0"/>
          <w:numId w:val="27"/>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成交单位需在每月5日前递交上一月符合资质要求的降尘监测报告和道路积尘走航监测报告。</w:t>
      </w:r>
      <w:r/>
    </w:p>
    <w:p>
      <w:pPr>
        <w:numPr>
          <w:ilvl w:val="0"/>
          <w:numId w:val="27"/>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数据传输需使用光纤，满足采购单位视频传输需求，当前不满足条件的站点，成交后根据采购单位要求整改。</w:t>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color w:val="auto"/>
          <w:sz w:val="21"/>
          <w:szCs w:val="21"/>
          <w:highlight w:val="none"/>
        </w:rPr>
        <w:t xml:space="preserve">运维管理目标</w:t>
      </w:r>
      <w:r/>
    </w:p>
    <w:p>
      <w:pPr>
        <w:ind w:left="0" w:right="0" w:firstLine="480"/>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保证系统正常运行率和有效数据捕获率均达到9</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.0%以上；数据采集率达到9</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.0%；异常情况处理率100%。污染物数据有效性最低要求满足下表要求：</w:t>
      </w:r>
      <w:r/>
    </w:p>
    <w:p>
      <w:pPr>
        <w:ind w:left="0" w:right="0" w:firstLine="480"/>
        <w:jc w:val="center"/>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表4 各污染物浓度数据有效性的最低要求</w:t>
      </w:r>
      <w:r/>
    </w:p>
    <w:tbl>
      <w:tblPr>
        <w:tblStyle w:val="1038"/>
        <w:tblW w:w="100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36"/>
        <w:gridCol w:w="1376"/>
        <w:gridCol w:w="5804"/>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污染物项目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平均时间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数据有效性规定</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SO</w:t>
            </w:r>
            <w:r>
              <w:rPr>
                <w:rFonts w:hint="eastAsia" w:ascii="宋体" w:hAnsi="宋体" w:eastAsia="宋体" w:cs="宋体"/>
                <w:color w:val="auto"/>
                <w:sz w:val="21"/>
                <w:szCs w:val="21"/>
                <w:highlight w:val="none"/>
                <w:vertAlign w:val="subscript"/>
              </w:rPr>
              <w:t xml:space="preserve">2</w:t>
            </w:r>
            <w:r>
              <w:rPr>
                <w:rFonts w:hint="eastAsia" w:ascii="宋体" w:hAnsi="宋体" w:eastAsia="宋体" w:cs="宋体"/>
                <w:color w:val="auto"/>
                <w:sz w:val="21"/>
                <w:szCs w:val="21"/>
                <w:highlight w:val="none"/>
              </w:rPr>
              <w:t xml:space="preserve">、NO</w:t>
            </w:r>
            <w:r>
              <w:rPr>
                <w:rFonts w:hint="eastAsia" w:ascii="宋体" w:hAnsi="宋体" w:eastAsia="宋体" w:cs="宋体"/>
                <w:color w:val="auto"/>
                <w:sz w:val="21"/>
                <w:szCs w:val="21"/>
                <w:highlight w:val="none"/>
                <w:vertAlign w:val="subscript"/>
              </w:rPr>
              <w:t xml:space="preserve">2</w:t>
            </w:r>
            <w:r>
              <w:rPr>
                <w:rFonts w:hint="eastAsia" w:ascii="宋体" w:hAnsi="宋体" w:eastAsia="宋体" w:cs="宋体"/>
                <w:color w:val="auto"/>
                <w:sz w:val="21"/>
                <w:szCs w:val="21"/>
                <w:highlight w:val="none"/>
              </w:rPr>
              <w:t xml:space="preserve">、PM</w:t>
            </w:r>
            <w:r>
              <w:rPr>
                <w:rFonts w:hint="eastAsia" w:ascii="宋体" w:hAnsi="宋体" w:eastAsia="宋体" w:cs="宋体"/>
                <w:color w:val="auto"/>
                <w:sz w:val="21"/>
                <w:szCs w:val="21"/>
                <w:highlight w:val="none"/>
                <w:vertAlign w:val="subscript"/>
              </w:rPr>
              <w:t xml:space="preserve">10</w:t>
            </w:r>
            <w:r>
              <w:rPr>
                <w:rFonts w:hint="eastAsia" w:ascii="宋体" w:hAnsi="宋体" w:eastAsia="宋体" w:cs="宋体"/>
                <w:color w:val="auto"/>
                <w:sz w:val="21"/>
                <w:szCs w:val="21"/>
                <w:highlight w:val="none"/>
              </w:rPr>
              <w:t xml:space="preserve">、PM</w:t>
            </w:r>
            <w:r>
              <w:rPr>
                <w:rFonts w:hint="eastAsia" w:ascii="宋体" w:hAnsi="宋体" w:eastAsia="宋体" w:cs="宋体"/>
                <w:color w:val="auto"/>
                <w:sz w:val="21"/>
                <w:szCs w:val="21"/>
                <w:highlight w:val="none"/>
                <w:vertAlign w:val="subscript"/>
              </w:rPr>
              <w:t xml:space="preserve">2.5</w:t>
            </w:r>
            <w:r>
              <w:rPr>
                <w:rFonts w:hint="eastAsia" w:ascii="宋体" w:hAnsi="宋体" w:eastAsia="宋体" w:cs="宋体"/>
                <w:color w:val="auto"/>
                <w:sz w:val="21"/>
                <w:szCs w:val="21"/>
                <w:highlight w:val="none"/>
              </w:rPr>
              <w:t xml:space="preserve">、NOx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年平均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每年至少有分布均匀的324 个日平均浓度值；每月至少有分布均匀的27个日平均浓度值（二月至少有25个日平均浓度值）</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SO</w:t>
            </w:r>
            <w:r>
              <w:rPr>
                <w:rFonts w:hint="eastAsia" w:ascii="宋体" w:hAnsi="宋体" w:eastAsia="宋体" w:cs="宋体"/>
                <w:color w:val="auto"/>
                <w:sz w:val="21"/>
                <w:szCs w:val="21"/>
                <w:highlight w:val="none"/>
                <w:vertAlign w:val="subscript"/>
              </w:rPr>
              <w:t xml:space="preserve">2</w:t>
            </w:r>
            <w:r>
              <w:rPr>
                <w:rFonts w:hint="eastAsia" w:ascii="宋体" w:hAnsi="宋体" w:eastAsia="宋体" w:cs="宋体"/>
                <w:color w:val="auto"/>
                <w:sz w:val="21"/>
                <w:szCs w:val="21"/>
                <w:highlight w:val="none"/>
              </w:rPr>
              <w:t xml:space="preserve">、NO</w:t>
            </w:r>
            <w:r>
              <w:rPr>
                <w:rFonts w:hint="eastAsia" w:ascii="宋体" w:hAnsi="宋体" w:eastAsia="宋体" w:cs="宋体"/>
                <w:color w:val="auto"/>
                <w:sz w:val="21"/>
                <w:szCs w:val="21"/>
                <w:highlight w:val="none"/>
                <w:vertAlign w:val="subscript"/>
              </w:rPr>
              <w:t xml:space="preserve">2</w:t>
            </w:r>
            <w:r>
              <w:rPr>
                <w:rFonts w:hint="eastAsia" w:ascii="宋体" w:hAnsi="宋体" w:eastAsia="宋体" w:cs="宋体"/>
                <w:color w:val="auto"/>
                <w:sz w:val="21"/>
                <w:szCs w:val="21"/>
                <w:highlight w:val="none"/>
              </w:rPr>
              <w:t xml:space="preserve">、CO、PM</w:t>
            </w:r>
            <w:r>
              <w:rPr>
                <w:rFonts w:hint="eastAsia" w:ascii="宋体" w:hAnsi="宋体" w:eastAsia="宋体" w:cs="宋体"/>
                <w:color w:val="auto"/>
                <w:sz w:val="21"/>
                <w:szCs w:val="21"/>
                <w:highlight w:val="none"/>
                <w:vertAlign w:val="subscript"/>
              </w:rPr>
              <w:t xml:space="preserve">10</w:t>
            </w:r>
            <w:r>
              <w:rPr>
                <w:rFonts w:hint="eastAsia" w:ascii="宋体" w:hAnsi="宋体" w:eastAsia="宋体" w:cs="宋体"/>
                <w:color w:val="auto"/>
                <w:sz w:val="21"/>
                <w:szCs w:val="21"/>
                <w:highlight w:val="none"/>
              </w:rPr>
              <w:t xml:space="preserve">、PM</w:t>
            </w:r>
            <w:r>
              <w:rPr>
                <w:rFonts w:hint="eastAsia" w:ascii="宋体" w:hAnsi="宋体" w:eastAsia="宋体" w:cs="宋体"/>
                <w:color w:val="auto"/>
                <w:sz w:val="21"/>
                <w:szCs w:val="21"/>
                <w:highlight w:val="none"/>
                <w:vertAlign w:val="subscript"/>
              </w:rPr>
              <w:t xml:space="preserve">2.5</w:t>
            </w:r>
            <w:r>
              <w:rPr>
                <w:rFonts w:hint="eastAsia" w:ascii="宋体" w:hAnsi="宋体" w:eastAsia="宋体" w:cs="宋体"/>
                <w:color w:val="auto"/>
                <w:sz w:val="21"/>
                <w:szCs w:val="21"/>
                <w:highlight w:val="none"/>
              </w:rPr>
              <w:t xml:space="preserve">、NOx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24小时平均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每日至少有20个小时的平均浓度值或采样时间</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O</w:t>
            </w:r>
            <w:r>
              <w:rPr>
                <w:rFonts w:hint="eastAsia" w:ascii="宋体" w:hAnsi="宋体" w:eastAsia="宋体" w:cs="宋体"/>
                <w:color w:val="auto"/>
                <w:sz w:val="21"/>
                <w:szCs w:val="21"/>
                <w:highlight w:val="none"/>
                <w:vertAlign w:val="subscript"/>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8小时平均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每8小时至少有6小时平均浓度值</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SO</w:t>
            </w:r>
            <w:r>
              <w:rPr>
                <w:rFonts w:hint="eastAsia" w:ascii="宋体" w:hAnsi="宋体" w:eastAsia="宋体" w:cs="宋体"/>
                <w:color w:val="auto"/>
                <w:sz w:val="21"/>
                <w:szCs w:val="21"/>
                <w:highlight w:val="none"/>
                <w:vertAlign w:val="subscript"/>
              </w:rPr>
              <w:t xml:space="preserve">2</w:t>
            </w:r>
            <w:r>
              <w:rPr>
                <w:rFonts w:hint="eastAsia" w:ascii="宋体" w:hAnsi="宋体" w:eastAsia="宋体" w:cs="宋体"/>
                <w:color w:val="auto"/>
                <w:sz w:val="21"/>
                <w:szCs w:val="21"/>
                <w:highlight w:val="none"/>
              </w:rPr>
              <w:t xml:space="preserve">、NO</w:t>
            </w:r>
            <w:r>
              <w:rPr>
                <w:rFonts w:hint="eastAsia" w:ascii="宋体" w:hAnsi="宋体" w:eastAsia="宋体" w:cs="宋体"/>
                <w:color w:val="auto"/>
                <w:sz w:val="21"/>
                <w:szCs w:val="21"/>
                <w:highlight w:val="none"/>
                <w:vertAlign w:val="subscript"/>
              </w:rPr>
              <w:t xml:space="preserve">2</w:t>
            </w:r>
            <w:r>
              <w:rPr>
                <w:rFonts w:hint="eastAsia" w:ascii="宋体" w:hAnsi="宋体" w:eastAsia="宋体" w:cs="宋体"/>
                <w:color w:val="auto"/>
                <w:sz w:val="21"/>
                <w:szCs w:val="21"/>
                <w:highlight w:val="none"/>
              </w:rPr>
              <w:t xml:space="preserve">、CO、O</w:t>
            </w:r>
            <w:r>
              <w:rPr>
                <w:rFonts w:hint="eastAsia" w:ascii="宋体" w:hAnsi="宋体" w:eastAsia="宋体" w:cs="宋体"/>
                <w:color w:val="auto"/>
                <w:sz w:val="21"/>
                <w:szCs w:val="21"/>
                <w:highlight w:val="none"/>
                <w:vertAlign w:val="subscript"/>
              </w:rPr>
              <w:t xml:space="preserve">3</w:t>
            </w:r>
            <w:r>
              <w:rPr>
                <w:rFonts w:hint="eastAsia" w:ascii="宋体" w:hAnsi="宋体" w:eastAsia="宋体" w:cs="宋体"/>
                <w:color w:val="auto"/>
                <w:sz w:val="21"/>
                <w:szCs w:val="21"/>
                <w:highlight w:val="none"/>
              </w:rPr>
              <w:t xml:space="preserve">、NOx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1小时平均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每小时至少有45分钟的采样时间</w:t>
            </w:r>
            <w:r/>
          </w:p>
        </w:tc>
      </w:tr>
    </w:tbl>
    <w:p>
      <w:pPr>
        <w:ind w:left="0" w:right="0" w:firstLine="0"/>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有关说明：</w:t>
      </w:r>
      <w:r/>
    </w:p>
    <w:p>
      <w:pPr>
        <w:ind w:left="0" w:right="0" w:firstLine="480"/>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成交单位需根据国家及省市有关空气质量最新的自动监测质量管理和质量控制规范，动态落实质量管理制度，做好质控工作并填好相应记录。无条件接受上级部门的检查和考核，以及配合采购方开展对外的有关质控检查。</w:t>
      </w:r>
      <w:r/>
    </w:p>
    <w:p>
      <w:pPr>
        <w:ind w:left="0" w:right="0" w:firstLine="480"/>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（2）特别说明：</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pacing w:val="2"/>
          <w:sz w:val="21"/>
          <w:szCs w:val="21"/>
          <w:highlight w:val="none"/>
        </w:rPr>
        <w:t xml:space="preserve">合同执行期间，12个</w:t>
      </w:r>
      <w:r>
        <w:rPr>
          <w:rFonts w:hint="eastAsia" w:ascii="宋体" w:hAnsi="宋体" w:eastAsia="宋体" w:cs="宋体"/>
          <w:color w:val="auto"/>
          <w:sz w:val="21"/>
          <w:szCs w:val="21"/>
          <w:highlight w:val="none"/>
        </w:rPr>
        <w:t xml:space="preserve">乡镇（街道）环境空气自动监测站设备维护过程中产生的交通、耗材备件、设备的年检和年度校准、设备的维修、站点运行的水电、通讯费用由成交单位承担；</w:t>
      </w:r>
      <w:r/>
    </w:p>
    <w:p>
      <w:pPr>
        <w:numPr>
          <w:ilvl w:val="0"/>
          <w:numId w:val="3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国家及省市有关空气质量的标准和规范有变更或调整时，采购方有权要求成交单位按照最新的国家标准和规范对空气站进行运行、维护和管理。采购方有权根据实际内容调整考核目标和考核办法。</w:t>
      </w:r>
      <w:r/>
    </w:p>
    <w:p>
      <w:pPr>
        <w:numPr>
          <w:ilvl w:val="0"/>
          <w:numId w:val="3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负责将空气自动站的数据导入苏州市吴中生态环境局大数据应用平台。</w:t>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color w:val="auto"/>
          <w:sz w:val="21"/>
          <w:szCs w:val="21"/>
          <w:highlight w:val="none"/>
        </w:rPr>
        <w:t xml:space="preserve">监督考核要求</w:t>
      </w:r>
      <w:r/>
    </w:p>
    <w:p>
      <w:pPr>
        <w:numPr>
          <w:ilvl w:val="0"/>
          <w:numId w:val="37"/>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监督管理</w:t>
      </w:r>
      <w:r/>
    </w:p>
    <w:p>
      <w:pPr>
        <w:ind w:left="0" w:right="0" w:firstLine="480"/>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（1）数据必须真实有效，响应单位近3年内，在环境监测服务活动中必须没有弄虚作假行为（请响应单位根据本单位实际情况承诺，若有不实，按提供虚假资料处理，成交无效，且承担相关法律责任）</w:t>
      </w:r>
      <w:r/>
    </w:p>
    <w:p>
      <w:pPr>
        <w:ind w:left="0" w:right="0" w:firstLine="480"/>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（2）响应单位应承担监测数据的保密责任，不得利用本项目的数据、档案或有关资料对外开展技术交流、业务联系、数据交换等。否则，采购方有权终止合同。</w:t>
      </w:r>
      <w:r/>
    </w:p>
    <w:p>
      <w:pPr>
        <w:ind w:left="0" w:right="0" w:firstLine="480"/>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（3）运维期间出现调整数据、修改参数、改动设备、质控结果与平台采集结果不一致、弄虚作假等违规行为的，一经查实采购方有权终止运维合同。</w:t>
      </w:r>
      <w:r/>
    </w:p>
    <w:p>
      <w:pPr>
        <w:ind w:left="0" w:right="0" w:firstLine="480"/>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（4）采购方开展运维管理和质控考核，对达不到运维要求或违规操作的，并有权终止运维合同。</w:t>
      </w:r>
      <w:r/>
    </w:p>
    <w:p>
      <w:pPr>
        <w:ind w:left="0" w:right="0" w:firstLine="480"/>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（5）违反江苏省空气自动站管理办法等违规行为的，一经查实采购方有权终止运维合同。</w:t>
      </w:r>
      <w:r/>
    </w:p>
    <w:p>
      <w:pPr>
        <w:ind w:left="0" w:right="0" w:firstLine="480"/>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（6）乡镇空气站的运维管理事项需要沟通协调的，由苏州市吴中生态环境局统一协调运维方及板块进行沟通，未经报备擅自沟通，视为有干扰数据的嫌疑，采购方有权终止合同。</w:t>
      </w:r>
      <w:r/>
    </w:p>
    <w:p>
      <w:pPr>
        <w:numPr>
          <w:ilvl w:val="0"/>
          <w:numId w:val="37"/>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考核办法</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每月由苏州市吴中生态环境局</w:t>
      </w:r>
      <w:r>
        <w:rPr>
          <w:rFonts w:hint="eastAsia" w:ascii="宋体" w:hAnsi="宋体" w:eastAsia="宋体" w:cs="宋体"/>
          <w:color w:val="auto"/>
          <w:sz w:val="21"/>
          <w:szCs w:val="21"/>
          <w:highlight w:val="none"/>
          <w:lang w:val="en-US" w:eastAsia="zh-CN"/>
        </w:rPr>
        <w:t xml:space="preserve">根据苏州市生态环境局对市控空气站的季度质控情况，</w:t>
      </w:r>
      <w:r>
        <w:rPr>
          <w:rFonts w:hint="eastAsia" w:ascii="宋体" w:hAnsi="宋体" w:eastAsia="宋体" w:cs="宋体"/>
          <w:color w:val="auto"/>
          <w:sz w:val="21"/>
          <w:szCs w:val="21"/>
          <w:highlight w:val="none"/>
        </w:rPr>
        <w:t xml:space="preserve">组织对运维成交单位绩效(职责履行情况)进行考核，填写考核表。考核采取百分制、单站考核的方式进行，主要包括设备运行率、数据有效率(以下简称两率)、运行维护3部分内容，其中两率考核占50%，运行维护考核占50%。</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设备运行率是指考核时段内各监测项目实际获取的小时值监测数据量总和除以应获得小时值数据量总和。</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数据有效率是指考核时段内各监测项目实际获取的质控合格的小时值监测数据量总和除以应获得小时值数据量总和。</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每日各项目应获得小时值数据量均按24个计，考核时段天数按考核时段内日历天数计。计算应获得小时值数据量时，应扣除因不可抗力造成的停止监测的小时数。</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（1）数据有效性</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考核时段内单个站点任一监测项目有效数据量应满足《环境空气质量标准》（GB 3095-</w:t>
      </w:r>
      <w:r>
        <w:rPr>
          <w:rFonts w:hint="eastAsia" w:ascii="宋体" w:hAnsi="宋体" w:cs="宋体"/>
          <w:color w:val="auto"/>
          <w:sz w:val="21"/>
          <w:szCs w:val="21"/>
          <w:highlight w:val="none"/>
          <w:lang w:eastAsia="zh-CN"/>
        </w:rPr>
        <w:t xml:space="preserve">2026</w:t>
      </w:r>
      <w:r>
        <w:rPr>
          <w:rFonts w:hint="eastAsia" w:ascii="宋体" w:hAnsi="宋体" w:eastAsia="宋体" w:cs="宋体"/>
          <w:color w:val="auto"/>
          <w:sz w:val="21"/>
          <w:szCs w:val="21"/>
          <w:highlight w:val="none"/>
        </w:rPr>
        <w:t xml:space="preserve">）中规定的污染物浓度数据有效性的最低要求，否则考核总分为0分。</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（2）两率及运行维护</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符合数据有效性要求后，参照本部分执行。</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当单站设备运行率高于90%(含)时，才能按照以下条款对数据有效率进行考核，否则两率部分</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0分；</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①单站监测数据有效率高于9</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%(含)的，两率得分=50；</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②有效率在90%(含)-9</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%的，两率得分=实际有效率×50；</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③有效率在80%(含)-90%的，两率得分=实际有效率×</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0%×50。</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运行维护部分内容包括日常运维操作、质量保证与控制、档案和管理3部分，其中，日常运维操作和质量保证与控制各占20分，档案和管理占10分，满分50分，采用扣分制，以苏州市生态环境局质控得分为依据，如单次质控涵盖多月的，则每月考核均以此次质控分数考核。</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①单站月度质控得分高于90分(含)的，得分=50；</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②单站月度质控得分高于80-90分(含)的，得分=质控得分×50÷100；</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③单站月度质控得分低于80分(含)的，得分=质控得分×</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0%×50÷100；</w:t>
      </w:r>
      <w:r/>
    </w:p>
    <w:p>
      <w:pPr>
        <w:numPr>
          <w:ilvl w:val="0"/>
          <w:numId w:val="37"/>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运维费用结算方式</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以两率得分和质控得分和为总得分，最终运维结算为月度运维费用×总得分÷100。</w:t>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color w:val="auto"/>
          <w:sz w:val="21"/>
          <w:szCs w:val="21"/>
          <w:highlight w:val="none"/>
        </w:rPr>
        <w:t xml:space="preserve">安全责任</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成交单位应对项目组成员做好安全培训，在项目实施过程中应注意人员和财产安全，如造成相关人员安全和财产损失问题的，一律由成交单位全权承担负责，采购单位不承担任何责任。</w:t>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color w:val="auto"/>
          <w:sz w:val="21"/>
          <w:szCs w:val="21"/>
          <w:highlight w:val="none"/>
        </w:rPr>
        <w:t xml:space="preserve">综合说明其他要求</w:t>
      </w:r>
      <w:r/>
    </w:p>
    <w:p>
      <w:pPr>
        <w:numPr>
          <w:ilvl w:val="0"/>
          <w:numId w:val="3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响应单位必须承诺采购文件中提出的全部要求，如果其中某些条款不响应时，必须在文件中逐条列出。</w:t>
      </w:r>
      <w:r/>
    </w:p>
    <w:p>
      <w:pPr>
        <w:numPr>
          <w:ilvl w:val="0"/>
          <w:numId w:val="3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响应单位成交后提供的服务均为按国家规格条例的合格正规服务，符合规范要求。</w:t>
      </w:r>
      <w:r/>
    </w:p>
    <w:p>
      <w:pPr>
        <w:numPr>
          <w:ilvl w:val="0"/>
          <w:numId w:val="3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响应单位按以上要求制定出具体的工作方案，达到的标准，提供的人力、物力。所提供的服务能够至少达到以上要求，同时明确详细的服务方案。</w:t>
      </w:r>
      <w:r/>
    </w:p>
    <w:p>
      <w:pPr>
        <w:numPr>
          <w:ilvl w:val="0"/>
          <w:numId w:val="38"/>
        </w:numPr>
        <w:ind w:left="567" w:right="0" w:hanging="567"/>
        <w:jc w:val="both"/>
        <w:keepLines w:val="0"/>
        <w:keepNext w:val="0"/>
        <w:pageBreakBefore w:val="0"/>
        <w:spacing w:line="400" w:lineRule="exact"/>
        <w:widowControl w:val="o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1"/>
          <w:szCs w:val="21"/>
          <w:highlight w:val="none"/>
        </w:rPr>
        <w:t xml:space="preserve">响应</w:t>
      </w:r>
      <w:r>
        <w:rPr>
          <w:rFonts w:hint="eastAsia" w:ascii="宋体" w:hAnsi="宋体" w:cs="宋体"/>
          <w:b/>
          <w:bCs/>
          <w:color w:val="auto"/>
          <w:szCs w:val="21"/>
          <w:highlight w:val="none"/>
        </w:rPr>
        <w:t xml:space="preserve">单位成立至今在全国范围内的环境监测服务活动中</w:t>
      </w:r>
      <w:r>
        <w:rPr>
          <w:rFonts w:hint="eastAsia" w:ascii="宋体" w:hAnsi="宋体" w:cs="宋体"/>
          <w:b/>
          <w:bCs/>
          <w:color w:val="auto"/>
          <w:szCs w:val="21"/>
          <w:highlight w:val="none"/>
          <w:lang w:val="en-US" w:eastAsia="zh-CN"/>
        </w:rPr>
        <w:t xml:space="preserve">不得</w:t>
      </w:r>
      <w:r>
        <w:rPr>
          <w:rFonts w:hint="eastAsia" w:ascii="宋体" w:hAnsi="宋体" w:cs="宋体"/>
          <w:b/>
          <w:bCs/>
          <w:color w:val="auto"/>
          <w:szCs w:val="21"/>
          <w:highlight w:val="none"/>
        </w:rPr>
        <w:t xml:space="preserve">出现下列任意一种情况</w:t>
      </w:r>
      <w:r>
        <w:rPr>
          <w:rFonts w:hint="eastAsia" w:ascii="宋体" w:hAnsi="宋体" w:cs="宋体"/>
          <w:b/>
          <w:bCs/>
          <w:color w:val="auto"/>
          <w:szCs w:val="21"/>
          <w:highlight w:val="none"/>
          <w:lang w:eastAsia="zh-CN"/>
        </w:rPr>
        <w:t xml:space="preserve">：</w:t>
      </w:r>
      <w:r>
        <w:rPr>
          <w:rFonts w:hint="eastAsia" w:ascii="宋体" w:hAnsi="宋体" w:cs="宋体"/>
          <w:color w:val="auto"/>
          <w:szCs w:val="21"/>
          <w:highlight w:val="none"/>
        </w:rPr>
        <w:t xml:space="preserve">          </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响应单位或其法定代表人、员工（包括但不限于高管人员、项目负责人员、实施人员及其他员工等，员工的认定以违法行为发生当时劳动合同、聘任合同存续为准）曾在本项目类似业务实施过程中，因行贿受贿等与业务活动相关的行为受到刑事处罚，导致供应商被区县级（含）以上环保主管部门通报批评、行政处罚。</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（2）除上述情况外，响应单位在全国环境监测服务活动中被区县级（含）以上环保主管部门通报批评、行政处罚。 </w:t>
      </w:r>
      <w:r/>
    </w:p>
    <w:p>
      <w:pPr>
        <w:ind w:left="0" w:right="0" w:firstLine="567"/>
        <w:jc w:val="both"/>
        <w:keepLines w:val="0"/>
        <w:keepNext w:val="0"/>
        <w:pageBreakBefore w:val="0"/>
        <w:spacing w:line="400" w:lineRule="exact"/>
        <w:widowControl w:val="off"/>
        <w:rPr>
          <w:rFonts w:hint="eastAsia" w:ascii="宋体" w:hAnsi="宋体" w:eastAsia="宋体" w:cs="宋体"/>
          <w:b/>
          <w:bCs/>
          <w:color w:val="auto"/>
          <w:szCs w:val="21"/>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auto"/>
          <w:szCs w:val="21"/>
          <w:highlight w:val="none"/>
        </w:rPr>
        <w:t xml:space="preserve">注：请响应单位根据本单位实际情况承诺</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否则视为无效响应</w:t>
      </w:r>
      <w:r>
        <w:rPr>
          <w:rFonts w:hint="eastAsia" w:ascii="宋体" w:hAnsi="宋体" w:cs="宋体"/>
          <w:b/>
          <w:bCs/>
          <w:color w:val="auto"/>
          <w:szCs w:val="21"/>
          <w:highlight w:val="none"/>
        </w:rPr>
        <w:t xml:space="preserve">，若有不实，按提供虚假资料处理，成交无效，且承担相关法律责任</w:t>
      </w:r>
      <w:r>
        <w:rPr>
          <w:rFonts w:hint="eastAsia" w:ascii="宋体" w:hAnsi="宋体" w:cs="宋体"/>
          <w:b/>
          <w:bCs/>
          <w:color w:val="auto"/>
          <w:szCs w:val="21"/>
          <w:highlight w:val="none"/>
          <w:lang w:eastAsia="zh-CN"/>
        </w:rPr>
        <w:t xml:space="preserve">。</w:t>
      </w:r>
      <w:r/>
    </w:p>
    <w:p>
      <w:pPr>
        <w:numPr>
          <w:ilvl w:val="0"/>
          <w:numId w:val="3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成交单位管理如不符合或达不到采购人的要求，采购人书面告知成交单位整改；若经整改后仍不能达到采购人要求，采购人有权终止合同，并无需支付因终止合同而产生的相关费用。</w:t>
      </w:r>
      <w:r/>
    </w:p>
    <w:p>
      <w:pPr>
        <w:numPr>
          <w:ilvl w:val="0"/>
          <w:numId w:val="3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成交单位在项目实施过程中，未经采购人批准，不得随意更换项目组成员。如果采购人认为技术服务人员不具备本次服务工作所需的技术能力，有权随时要求成交单位对该成员进行更换。项目实施人员在服务期间内出现的工伤及其他意外事故，均由成交单位自行负责，采购单位不承担任何责任。</w:t>
      </w:r>
      <w:r/>
    </w:p>
    <w:p>
      <w:pPr>
        <w:numPr>
          <w:ilvl w:val="0"/>
          <w:numId w:val="3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响应单位须保障采购方在使用服务或其任何一部分时不受到第三方关于侵犯专利权、商标权或工业设计权的指控。如果任何第三方提出侵权指控，响应单位须与第三方交涉，并承担由此而产生的索赔、损失、损害、支出等一切费用（含律师费）。如采购方因此而遭致损失的，成交方应赔偿该损失。</w:t>
      </w:r>
      <w:r/>
    </w:p>
    <w:p>
      <w:pPr>
        <w:numPr>
          <w:ilvl w:val="0"/>
          <w:numId w:val="3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成交后，采购单位有权不定期对服务质量进行查看，如果发现成交单位存在违反本次采购要求的，采购单位有权终止合同，相关损失由成交单位承担。</w:t>
      </w:r>
      <w:r/>
    </w:p>
    <w:p>
      <w:pPr>
        <w:numPr>
          <w:ilvl w:val="0"/>
          <w:numId w:val="3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报价应包含完成本项目服务工作期间所需的人工、材料、仪器设备、车辆交通、备品备件、</w:t>
      </w:r>
      <w:r>
        <w:rPr>
          <w:rFonts w:hint="eastAsia" w:ascii="宋体" w:hAnsi="宋体" w:eastAsia="宋体" w:cs="宋体"/>
          <w:color w:val="auto"/>
          <w:sz w:val="21"/>
          <w:szCs w:val="21"/>
          <w:highlight w:val="none"/>
          <w:lang w:val="en-US" w:eastAsia="zh-CN"/>
        </w:rPr>
        <w:t xml:space="preserve">验收、</w:t>
      </w:r>
      <w:r>
        <w:rPr>
          <w:rFonts w:hint="eastAsia" w:ascii="宋体" w:hAnsi="宋体" w:eastAsia="宋体" w:cs="宋体"/>
          <w:color w:val="auto"/>
          <w:sz w:val="21"/>
          <w:szCs w:val="21"/>
          <w:highlight w:val="none"/>
        </w:rPr>
        <w:t xml:space="preserve">保险、利润、税金、通讯、政策性文件规定及合同包含的所有风险、责任等各项应有费用。</w:t>
      </w:r>
      <w:r/>
    </w:p>
    <w:p>
      <w:pPr>
        <w:numPr>
          <w:ilvl w:val="0"/>
          <w:numId w:val="3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验收标准：符合采购文件所规定技术性能要求，以及响应单位承诺的其他指标。服务完毕后，响应单位书面通知采购方验收，由采购方</w:t>
      </w:r>
      <w:r>
        <w:rPr>
          <w:rFonts w:hint="eastAsia" w:ascii="宋体" w:hAnsi="宋体" w:eastAsia="宋体" w:cs="宋体"/>
          <w:color w:val="auto"/>
          <w:sz w:val="21"/>
          <w:szCs w:val="21"/>
          <w:highlight w:val="none"/>
          <w:lang w:val="en-US" w:eastAsia="zh-CN"/>
        </w:rPr>
        <w:t xml:space="preserve">依据服务考核情况</w:t>
      </w:r>
      <w:r>
        <w:rPr>
          <w:rFonts w:hint="eastAsia" w:ascii="宋体" w:hAnsi="宋体" w:eastAsia="宋体" w:cs="宋体"/>
          <w:color w:val="auto"/>
          <w:sz w:val="21"/>
          <w:szCs w:val="21"/>
          <w:highlight w:val="none"/>
        </w:rPr>
        <w:t xml:space="preserve">组织验收，依据为国家有关规定、响应采购文件、成交的磋商响应文件以及其他相关文件和资料。</w:t>
      </w:r>
      <w:r/>
    </w:p>
    <w:p>
      <w:pPr>
        <w:numPr>
          <w:ilvl w:val="0"/>
          <w:numId w:val="3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成交单位在履行合同期间，若所提供的服务不能令采购人满意，如减少或降低双方约定的服务范围，服务人员的素质水平、工作态度等，则采购人有权在费用结算时扣除相应费用。</w:t>
      </w:r>
      <w:r/>
    </w:p>
    <w:p>
      <w:pPr>
        <w:numPr>
          <w:ilvl w:val="0"/>
          <w:numId w:val="3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磋商供应商提供的响应文件内容必须真实、准确、有效，如提供虚假材料或对采购文件所要求说明的情况故意隐瞒或虚报，视为不实质性响应采购要求，其响应文件将被拒绝。已成交的将取消成交资格，并按相关办法处理。</w:t>
      </w:r>
      <w:r/>
    </w:p>
    <w:p>
      <w:pPr>
        <w:numPr>
          <w:ilvl w:val="0"/>
          <w:numId w:val="38"/>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采购文件提出的是最低限度的要求，并未对一切细节做出规定，也未充分引述全部有关标准和规范的条文，磋商供应商提供的所有服务都应符合已颁布的现行中华人民共和国认可的（部颁、行业）标准和国际标准化组织以及等效或更优的其他国家的权威性标准和规范的有关条文。如果这些标准内容有矛盾时，应按最高标准的条款执行。</w:t>
      </w:r>
      <w:r/>
    </w:p>
    <w:p>
      <w:pPr>
        <w:numPr>
          <w:ilvl w:val="0"/>
          <w:numId w:val="17"/>
        </w:numPr>
        <w:ind w:left="525" w:hanging="525"/>
        <w:keepLines w:val="0"/>
        <w:keepNext w:val="0"/>
        <w:pageBreakBefore w:val="0"/>
        <w:spacing w:line="400" w:lineRule="exact"/>
        <w:widowControl w:val="off"/>
        <w:tabs>
          <w:tab w:val="clear" w:pos="420" w:leader="none"/>
          <w:tab w:val="left" w:pos="525" w:leader="none"/>
          <w:tab w:val="left" w:pos="567" w:leader="none"/>
        </w:tabs>
        <w:rPr>
          <w:rFonts w:hint="eastAsia" w:ascii="宋体" w:hAnsi="宋体" w:cs="Arial"/>
          <w:color w:val="auto"/>
          <w:szCs w:val="21"/>
          <w:highlight w:val="none"/>
        </w:rPr>
      </w:pPr>
      <w:r>
        <w:rPr>
          <w:rFonts w:hint="eastAsia" w:ascii="宋体" w:hAnsi="宋体"/>
          <w:bCs/>
          <w:color w:val="auto"/>
          <w:szCs w:val="21"/>
          <w:highlight w:val="none"/>
        </w:rPr>
        <w:t xml:space="preserve">磋商</w:t>
      </w:r>
      <w:r>
        <w:rPr>
          <w:rFonts w:hint="eastAsia" w:ascii="宋体" w:hAnsi="宋体" w:cs="Arial"/>
          <w:color w:val="auto"/>
          <w:szCs w:val="21"/>
          <w:highlight w:val="none"/>
        </w:rPr>
        <w:t xml:space="preserve">响应文件的组成及要求：</w:t>
      </w:r>
      <w:r/>
    </w:p>
    <w:p>
      <w:pPr>
        <w:numPr>
          <w:ilvl w:val="0"/>
          <w:numId w:val="39"/>
        </w:numPr>
        <w:keepLines w:val="0"/>
        <w:keepNext w:val="0"/>
        <w:pageBreakBefore w:val="0"/>
        <w:spacing w:line="400" w:lineRule="exact"/>
        <w:widowControl w:val="off"/>
        <w:rPr>
          <w:rFonts w:hint="eastAsia" w:ascii="宋体" w:hAnsi="宋体"/>
          <w:b/>
          <w:bCs/>
          <w:color w:val="auto"/>
          <w:szCs w:val="21"/>
          <w:highlight w:val="none"/>
        </w:rPr>
      </w:pPr>
      <w:r>
        <w:rPr>
          <w:rFonts w:hint="eastAsia" w:ascii="宋体" w:hAnsi="宋体"/>
          <w:b/>
          <w:bCs/>
          <w:color w:val="auto"/>
          <w:szCs w:val="21"/>
          <w:highlight w:val="none"/>
        </w:rPr>
        <w:t xml:space="preserve">文件组成</w:t>
      </w:r>
      <w:r/>
    </w:p>
    <w:p>
      <w:pPr>
        <w:numPr>
          <w:ilvl w:val="0"/>
          <w:numId w:val="40"/>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磋商报价表</w:t>
      </w:r>
      <w:r/>
    </w:p>
    <w:p>
      <w:pPr>
        <w:numPr>
          <w:ilvl w:val="0"/>
          <w:numId w:val="40"/>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bookmarkStart w:id="17" w:name="OLE_LINK21"/>
      <w:r>
        <w:rPr>
          <w:rFonts w:hint="eastAsia" w:ascii="宋体" w:hAnsi="宋体"/>
          <w:b/>
          <w:bCs/>
          <w:color w:val="auto"/>
          <w:szCs w:val="21"/>
          <w:highlight w:val="none"/>
        </w:rPr>
        <w:t xml:space="preserve">磋商分项报价明细表</w:t>
      </w:r>
      <w:bookmarkEnd w:id="17"/>
      <w:r/>
      <w:r/>
    </w:p>
    <w:p>
      <w:pPr>
        <w:numPr>
          <w:ilvl w:val="0"/>
          <w:numId w:val="40"/>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bookmarkStart w:id="18" w:name="OLE_LINK13"/>
      <w:r>
        <w:rPr>
          <w:rFonts w:hint="eastAsia" w:ascii="宋体" w:hAnsi="宋体"/>
          <w:b/>
          <w:bCs/>
          <w:color w:val="auto"/>
          <w:szCs w:val="21"/>
          <w:highlight w:val="none"/>
        </w:rPr>
        <w:t xml:space="preserve">其他针对本次磋商的详细说明</w:t>
      </w:r>
      <w:bookmarkEnd w:id="18"/>
      <w:r/>
      <w:r/>
    </w:p>
    <w:p>
      <w:pPr>
        <w:numPr>
          <w:ilvl w:val="0"/>
          <w:numId w:val="41"/>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无对应模块上传的响应文件内容可传至此，含“五、附件”中部分表格、内容。</w:t>
      </w:r>
      <w:r/>
    </w:p>
    <w:p>
      <w:pPr>
        <w:numPr>
          <w:ilvl w:val="0"/>
          <w:numId w:val="40"/>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资格审查响应文件</w:t>
      </w:r>
      <w:r/>
    </w:p>
    <w:p>
      <w:pPr>
        <w:numPr>
          <w:ilvl w:val="0"/>
          <w:numId w:val="42"/>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磋商响应函；</w:t>
      </w:r>
      <w:r/>
    </w:p>
    <w:p>
      <w:pPr>
        <w:numPr>
          <w:ilvl w:val="0"/>
          <w:numId w:val="42"/>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关于资格文件的声明函；</w:t>
      </w:r>
      <w:r/>
    </w:p>
    <w:p>
      <w:pPr>
        <w:numPr>
          <w:ilvl w:val="0"/>
          <w:numId w:val="42"/>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法定代表人授权委托书（如有授权）；</w:t>
      </w:r>
      <w:r/>
    </w:p>
    <w:p>
      <w:pPr>
        <w:numPr>
          <w:ilvl w:val="0"/>
          <w:numId w:val="42"/>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供应商的法定代表人身份证复印件、供应商代理人身份证复印件（如有授权）；</w:t>
      </w:r>
      <w:r/>
    </w:p>
    <w:p>
      <w:pPr>
        <w:numPr>
          <w:ilvl w:val="0"/>
          <w:numId w:val="42"/>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供应商参加政府采购活动应当具备的条件：</w:t>
      </w:r>
      <w:r/>
    </w:p>
    <w:p>
      <w:pPr>
        <w:numPr>
          <w:ilvl w:val="0"/>
          <w:numId w:val="43"/>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具有独立承担民事责任的能力（提供法人或者其他组织的营业执照等证明文件）；</w:t>
      </w:r>
      <w:r/>
    </w:p>
    <w:p>
      <w:pPr>
        <w:numPr>
          <w:ilvl w:val="0"/>
          <w:numId w:val="43"/>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具有良好的商业信誉和健全的财务会计制度（提供参加本次政府采购前的财务报表或银行出具的资信证明）；</w:t>
      </w:r>
      <w:r/>
    </w:p>
    <w:p>
      <w:pPr>
        <w:numPr>
          <w:ilvl w:val="0"/>
          <w:numId w:val="43"/>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具有履行合同所必</w:t>
      </w:r>
      <w:r>
        <w:rPr>
          <w:rFonts w:hint="eastAsia" w:ascii="宋体" w:hAnsi="宋体"/>
          <w:color w:val="auto"/>
          <w:szCs w:val="21"/>
          <w:highlight w:val="none"/>
          <w:lang w:val="en-US" w:eastAsia="zh-CN"/>
        </w:rPr>
        <w:t xml:space="preserve">需</w:t>
      </w:r>
      <w:r>
        <w:rPr>
          <w:rFonts w:hint="eastAsia" w:ascii="宋体" w:hAnsi="宋体"/>
          <w:color w:val="auto"/>
          <w:szCs w:val="21"/>
          <w:highlight w:val="none"/>
        </w:rPr>
        <w:t xml:space="preserve">的设备和专业技术能力（企业法人性质的政府采购供应商应在经工商管理部门核准登记注册的经营范围内参与经营活动，提供营业执照或其他证明材料）；</w:t>
      </w:r>
      <w:r/>
    </w:p>
    <w:p>
      <w:pPr>
        <w:numPr>
          <w:ilvl w:val="0"/>
          <w:numId w:val="43"/>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有依法缴纳税收和社会保障资金的良好记录（提供参加本次政府采购前一年内（至少一个月的）的依法缴纳税收和社会保障资金的相关材料）；</w:t>
      </w:r>
      <w:r/>
    </w:p>
    <w:p>
      <w:pPr>
        <w:numPr>
          <w:ilvl w:val="0"/>
          <w:numId w:val="43"/>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参加政府采购活动前</w:t>
      </w:r>
      <w:r>
        <w:rPr>
          <w:rFonts w:ascii="宋体" w:hAnsi="宋体"/>
          <w:color w:val="auto"/>
          <w:szCs w:val="21"/>
          <w:highlight w:val="none"/>
        </w:rPr>
        <w:t xml:space="preserve">3</w:t>
      </w:r>
      <w:r>
        <w:rPr>
          <w:rFonts w:hint="eastAsia" w:ascii="宋体" w:hAnsi="宋体"/>
          <w:color w:val="auto"/>
          <w:szCs w:val="21"/>
          <w:highlight w:val="none"/>
        </w:rPr>
        <w:t xml:space="preserve">年内在经营活动中没有重大违法记录（提供书面声明）</w:t>
      </w:r>
      <w:r>
        <w:rPr>
          <w:rFonts w:hint="eastAsia" w:ascii="宋体" w:hAnsi="宋体"/>
          <w:color w:val="auto"/>
          <w:szCs w:val="21"/>
          <w:highlight w:val="none"/>
          <w:lang w:eastAsia="zh-CN"/>
        </w:rPr>
        <w:t xml:space="preserve">。</w:t>
      </w:r>
      <w:r/>
    </w:p>
    <w:p>
      <w:pPr>
        <w:numPr>
          <w:ilvl w:val="0"/>
          <w:numId w:val="40"/>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符合性审查响应文件</w:t>
      </w:r>
      <w:r/>
    </w:p>
    <w:p>
      <w:pPr>
        <w:numPr>
          <w:ilvl w:val="0"/>
          <w:numId w:val="44"/>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服务要求偏离表；</w:t>
      </w:r>
      <w:r/>
    </w:p>
    <w:p>
      <w:pPr>
        <w:numPr>
          <w:ilvl w:val="0"/>
          <w:numId w:val="44"/>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投标（响应）保证承诺书；</w:t>
      </w:r>
      <w:r/>
    </w:p>
    <w:p>
      <w:pPr>
        <w:numPr>
          <w:ilvl w:val="0"/>
          <w:numId w:val="44"/>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其他需供应商对本次响应的详细说明、承诺。</w:t>
      </w:r>
      <w:r/>
    </w:p>
    <w:p>
      <w:pPr>
        <w:numPr>
          <w:ilvl w:val="0"/>
          <w:numId w:val="40"/>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综合评审响应文件</w:t>
      </w:r>
      <w:r/>
    </w:p>
    <w:p>
      <w:pPr>
        <w:numPr>
          <w:ilvl w:val="0"/>
          <w:numId w:val="45"/>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项目具体实施方案；</w:t>
      </w:r>
      <w:r/>
    </w:p>
    <w:p>
      <w:pPr>
        <w:numPr>
          <w:ilvl w:val="0"/>
          <w:numId w:val="45"/>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履约期限、后续服务等响应承诺；</w:t>
      </w:r>
      <w:r/>
    </w:p>
    <w:p>
      <w:pPr>
        <w:numPr>
          <w:ilvl w:val="0"/>
          <w:numId w:val="45"/>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与本次磋商有关的其他资料。</w:t>
      </w:r>
      <w:r/>
    </w:p>
    <w:p>
      <w:pPr>
        <w:numPr>
          <w:ilvl w:val="0"/>
          <w:numId w:val="40"/>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企业报价折扣证明</w:t>
      </w:r>
      <w:r/>
    </w:p>
    <w:p>
      <w:pPr>
        <w:numPr>
          <w:ilvl w:val="0"/>
          <w:numId w:val="46"/>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中型、小型或微型企业、残疾人企业、监狱企业的相关材料。</w:t>
      </w:r>
      <w:r/>
    </w:p>
    <w:p>
      <w:pPr>
        <w:spacing w:line="400" w:lineRule="exact"/>
        <w:rPr>
          <w:rFonts w:ascii="宋体"/>
          <w:color w:val="auto"/>
          <w:szCs w:val="22"/>
          <w:highlight w:val="none"/>
        </w:rPr>
      </w:pPr>
      <w:r>
        <w:rPr>
          <w:rFonts w:hint="eastAsia" w:ascii="宋体" w:hAnsi="宋体"/>
          <w:color w:val="auto"/>
          <w:szCs w:val="22"/>
          <w:highlight w:val="none"/>
        </w:rPr>
        <w:t xml:space="preserve">注：响应单位成交后须提供一份与电子响应文件内容一致的纸质响应文件（装订成册）。</w:t>
      </w:r>
      <w:r/>
    </w:p>
    <w:p>
      <w:pPr>
        <w:numPr>
          <w:ilvl w:val="0"/>
          <w:numId w:val="39"/>
        </w:numPr>
        <w:spacing w:line="400" w:lineRule="exact"/>
        <w:rPr>
          <w:rFonts w:hint="eastAsia" w:ascii="宋体" w:hAnsi="宋体"/>
          <w:b/>
          <w:bCs/>
          <w:color w:val="auto"/>
          <w:highlight w:val="none"/>
        </w:rPr>
      </w:pPr>
      <w:r>
        <w:rPr>
          <w:rFonts w:hint="eastAsia" w:ascii="宋体" w:hAnsi="宋体"/>
          <w:b/>
          <w:bCs/>
          <w:color w:val="auto"/>
          <w:highlight w:val="none"/>
        </w:rPr>
        <w:t xml:space="preserve">电子投标（响应）文件的编制与提交 </w:t>
      </w:r>
      <w:r/>
    </w:p>
    <w:p>
      <w:pPr>
        <w:numPr>
          <w:ilvl w:val="0"/>
          <w:numId w:val="47"/>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电子响应文件按上述文件组成统一顺序、统一格式编写，并在首页编制“响应文件目录”。</w:t>
      </w:r>
      <w:r/>
    </w:p>
    <w:p>
      <w:pPr>
        <w:numPr>
          <w:ilvl w:val="0"/>
          <w:numId w:val="47"/>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电子响应文件制作</w:t>
      </w:r>
      <w:r/>
    </w:p>
    <w:p>
      <w:pPr>
        <w:numPr>
          <w:ilvl w:val="0"/>
          <w:numId w:val="48"/>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在苏采云系统中下载采购文件后，点击“客户端下载地址”，下载投标文件客户端，查看客户端使用说明。</w:t>
      </w:r>
      <w:r/>
    </w:p>
    <w:p>
      <w:pPr>
        <w:numPr>
          <w:ilvl w:val="0"/>
          <w:numId w:val="48"/>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将下载的采购文件导入投标文件客户端，按照《操作手册》完成投标文件的编制和加盖电子签章。</w:t>
      </w:r>
      <w:r/>
    </w:p>
    <w:p>
      <w:pPr>
        <w:numPr>
          <w:ilvl w:val="0"/>
          <w:numId w:val="48"/>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导出制作完成的投标文件，上传至苏采云系统。</w:t>
      </w:r>
      <w:r/>
    </w:p>
    <w:p>
      <w:pPr>
        <w:spacing w:line="400" w:lineRule="atLeast"/>
        <w:widowControl/>
        <w:rPr>
          <w:rFonts w:hint="eastAsia" w:ascii="宋体" w:hAnsi="宋体"/>
          <w:color w:val="auto"/>
          <w:szCs w:val="21"/>
          <w:highlight w:val="none"/>
        </w:rPr>
      </w:pPr>
      <w:r>
        <w:rPr>
          <w:rFonts w:hint="eastAsia" w:ascii="宋体" w:hAnsi="宋体"/>
          <w:color w:val="auto"/>
          <w:szCs w:val="21"/>
          <w:highlight w:val="none"/>
        </w:rPr>
        <w:t xml:space="preserve">注：具体投标文件编制教程查看苏采云系统中的客户端使用说明和供应商《操作手册》。</w:t>
      </w:r>
      <w:r/>
    </w:p>
    <w:p>
      <w:pPr>
        <w:numPr>
          <w:ilvl w:val="0"/>
          <w:numId w:val="47"/>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r>
      <w:r>
        <w:rPr>
          <w:rFonts w:hint="eastAsia" w:ascii="宋体" w:hAnsi="宋体"/>
          <w:color w:val="auto"/>
          <w:szCs w:val="21"/>
          <w:highlight w:val="none"/>
        </w:rPr>
        <w:t xml:space="preserve">电子投标文件中的资料应按采购文件的要求加盖响应单位的电子签章或公章。</w:t>
      </w:r>
      <w:r/>
    </w:p>
    <w:p>
      <w:pPr>
        <w:numPr>
          <w:ilvl w:val="0"/>
          <w:numId w:val="47"/>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未按照要求编制电子投标文件，未按照要求在电子投标文件上加盖电子签章的，均视为无效投标。</w:t>
      </w:r>
      <w:r/>
    </w:p>
    <w:p>
      <w:pPr>
        <w:numPr>
          <w:ilvl w:val="0"/>
          <w:numId w:val="17"/>
        </w:numPr>
        <w:ind w:left="525" w:hanging="525"/>
        <w:spacing w:line="400" w:lineRule="exact"/>
        <w:tabs>
          <w:tab w:val="clear" w:pos="420" w:leader="none"/>
          <w:tab w:val="left" w:pos="525" w:leader="none"/>
          <w:tab w:val="left" w:pos="567" w:leader="none"/>
        </w:tabs>
        <w:rPr>
          <w:rFonts w:hint="eastAsia" w:ascii="宋体" w:hAnsi="宋体"/>
          <w:bCs/>
          <w:color w:val="auto"/>
          <w:szCs w:val="21"/>
          <w:highlight w:val="none"/>
        </w:rPr>
      </w:pPr>
      <w:r>
        <w:rPr>
          <w:rFonts w:hint="eastAsia" w:ascii="宋体" w:hAnsi="宋体"/>
          <w:bCs/>
          <w:color w:val="auto"/>
          <w:szCs w:val="21"/>
          <w:highlight w:val="none"/>
        </w:rPr>
        <w:t xml:space="preserve">磋商综合说明：</w:t>
      </w:r>
      <w:r/>
    </w:p>
    <w:p>
      <w:pPr>
        <w:numPr>
          <w:ilvl w:val="0"/>
          <w:numId w:val="49"/>
        </w:numPr>
        <w:ind w:left="567" w:hanging="567"/>
        <w:spacing w:line="400" w:lineRule="exact"/>
        <w:tabs>
          <w:tab w:val="left" w:pos="567" w:leader="none"/>
        </w:tabs>
        <w:rPr>
          <w:rFonts w:ascii="宋体" w:hAnsi="宋体"/>
          <w:color w:val="auto"/>
          <w:szCs w:val="21"/>
          <w:highlight w:val="none"/>
        </w:rPr>
      </w:pPr>
      <w:r>
        <w:rPr>
          <w:rFonts w:ascii="宋体" w:hAnsi="宋体"/>
          <w:color w:val="auto"/>
          <w:szCs w:val="21"/>
          <w:highlight w:val="none"/>
        </w:rPr>
        <w:t xml:space="preserve">本次</w:t>
      </w:r>
      <w:r>
        <w:rPr>
          <w:rFonts w:hint="eastAsia" w:ascii="宋体" w:hAnsi="宋体"/>
          <w:color w:val="auto"/>
          <w:szCs w:val="21"/>
          <w:highlight w:val="none"/>
        </w:rPr>
        <w:t xml:space="preserve">竞争性磋商</w:t>
      </w:r>
      <w:r>
        <w:rPr>
          <w:rFonts w:hint="eastAsia" w:ascii="宋体" w:hAnsi="宋体"/>
          <w:color w:val="auto"/>
          <w:szCs w:val="21"/>
          <w:highlight w:val="none"/>
          <w:lang w:val="en-US" w:eastAsia="zh-CN"/>
        </w:rPr>
        <w:t xml:space="preserve">不分标段</w:t>
      </w:r>
      <w:r>
        <w:rPr>
          <w:rFonts w:ascii="宋体" w:hAnsi="宋体"/>
          <w:color w:val="auto"/>
          <w:szCs w:val="21"/>
          <w:highlight w:val="none"/>
        </w:rPr>
        <w:t xml:space="preserve">，各供应商须对全部内容进行响应</w:t>
      </w:r>
      <w:r>
        <w:rPr>
          <w:rFonts w:hint="eastAsia" w:ascii="宋体" w:hAnsi="宋体"/>
          <w:color w:val="auto"/>
          <w:szCs w:val="21"/>
          <w:highlight w:val="none"/>
        </w:rPr>
        <w:t xml:space="preserve">并报价</w:t>
      </w:r>
      <w:r>
        <w:rPr>
          <w:rFonts w:ascii="宋体" w:hAnsi="宋体"/>
          <w:color w:val="auto"/>
          <w:szCs w:val="21"/>
          <w:highlight w:val="none"/>
        </w:rPr>
        <w:t xml:space="preserve">，只</w:t>
      </w:r>
      <w:r>
        <w:rPr>
          <w:rFonts w:hint="eastAsia" w:ascii="宋体" w:hAnsi="宋体"/>
          <w:color w:val="auto"/>
          <w:szCs w:val="21"/>
          <w:highlight w:val="none"/>
        </w:rPr>
        <w:t xml:space="preserve">响应部分内容或只</w:t>
      </w:r>
      <w:r>
        <w:rPr>
          <w:rFonts w:ascii="宋体" w:hAnsi="宋体"/>
          <w:color w:val="auto"/>
          <w:szCs w:val="21"/>
          <w:highlight w:val="none"/>
        </w:rPr>
        <w:t xml:space="preserve">报其中部分内容的，</w:t>
      </w:r>
      <w:r>
        <w:rPr>
          <w:rFonts w:hint="eastAsia" w:ascii="宋体" w:hAnsi="宋体"/>
          <w:color w:val="auto"/>
          <w:szCs w:val="21"/>
          <w:highlight w:val="none"/>
        </w:rPr>
        <w:t xml:space="preserve">视为非实质性响应</w:t>
      </w:r>
      <w:r>
        <w:rPr>
          <w:rFonts w:ascii="宋体" w:hAnsi="宋体"/>
          <w:color w:val="auto"/>
          <w:szCs w:val="21"/>
          <w:highlight w:val="none"/>
        </w:rPr>
        <w:t xml:space="preserve">，并不得出现选择性报价。</w:t>
      </w:r>
      <w:r/>
    </w:p>
    <w:p>
      <w:pPr>
        <w:numPr>
          <w:ilvl w:val="0"/>
          <w:numId w:val="49"/>
        </w:numPr>
        <w:ind w:left="567" w:hanging="567"/>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磋商保证金：本项目不收取磋商保证金。</w:t>
      </w:r>
      <w:r/>
    </w:p>
    <w:p>
      <w:pPr>
        <w:numPr>
          <w:ilvl w:val="0"/>
          <w:numId w:val="49"/>
        </w:numPr>
        <w:ind w:left="567" w:hanging="567"/>
        <w:spacing w:line="400" w:lineRule="exact"/>
        <w:tabs>
          <w:tab w:val="left" w:pos="567" w:leader="none"/>
        </w:tabs>
        <w:rPr>
          <w:rFonts w:hint="eastAsia" w:ascii="宋体" w:hAnsi="宋体"/>
          <w:color w:val="auto"/>
          <w:szCs w:val="21"/>
          <w:highlight w:val="none"/>
        </w:rPr>
      </w:pPr>
      <w:r>
        <w:rPr>
          <w:rFonts w:ascii="宋体" w:hAnsi="宋体"/>
          <w:color w:val="auto"/>
          <w:szCs w:val="21"/>
          <w:highlight w:val="none"/>
        </w:rPr>
        <w:t xml:space="preserve">成交服务费：</w:t>
      </w:r>
      <w:r>
        <w:rPr>
          <w:rFonts w:hint="eastAsia" w:ascii="宋体" w:hAnsi="宋体"/>
          <w:color w:val="auto"/>
          <w:szCs w:val="21"/>
          <w:highlight w:val="none"/>
        </w:rPr>
        <w:t xml:space="preserve">按苏财购告【2016】31号规定的收费标准收取，领取成交通知书时成交单位向采购代理机构一次性付清。</w:t>
      </w:r>
      <w:r/>
    </w:p>
    <w:p>
      <w:pPr>
        <w:ind w:left="540"/>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收费标准：预算金额100万以下部分费率为预算金额的1.5%；预算金额100万-500万部分费率为预算金额的1.1%。</w:t>
      </w:r>
      <w:r/>
    </w:p>
    <w:p>
      <w:pPr>
        <w:ind w:left="539"/>
        <w:spacing w:line="400" w:lineRule="exact"/>
        <w:rPr>
          <w:rFonts w:hint="eastAsia" w:ascii="宋体" w:hAnsi="宋体"/>
          <w:color w:val="auto"/>
          <w:szCs w:val="21"/>
          <w:highlight w:val="none"/>
        </w:rPr>
      </w:pPr>
      <w:r>
        <w:rPr>
          <w:rFonts w:hint="eastAsia" w:ascii="宋体" w:hAnsi="宋体"/>
          <w:color w:val="auto"/>
          <w:szCs w:val="21"/>
          <w:highlight w:val="none"/>
        </w:rPr>
        <w:t xml:space="preserve">收款单位</w:t>
      </w:r>
      <w:r>
        <w:rPr>
          <w:rFonts w:ascii="宋体" w:hAnsi="宋体"/>
          <w:color w:val="auto"/>
          <w:szCs w:val="21"/>
          <w:highlight w:val="none"/>
        </w:rPr>
        <w:t xml:space="preserve">：苏州市原鑫招投标咨询服务有限公司</w:t>
      </w:r>
      <w:r/>
    </w:p>
    <w:p>
      <w:pPr>
        <w:ind w:left="539"/>
        <w:spacing w:line="400" w:lineRule="exact"/>
        <w:rPr>
          <w:rFonts w:hint="eastAsia" w:ascii="宋体" w:hAnsi="宋体"/>
          <w:color w:val="auto"/>
          <w:szCs w:val="21"/>
          <w:highlight w:val="none"/>
        </w:rPr>
      </w:pPr>
      <w:r>
        <w:rPr>
          <w:rFonts w:ascii="宋体" w:hAnsi="宋体"/>
          <w:color w:val="auto"/>
          <w:szCs w:val="21"/>
          <w:highlight w:val="none"/>
        </w:rPr>
        <w:t xml:space="preserve">账号：</w:t>
      </w:r>
      <w:r>
        <w:rPr>
          <w:rFonts w:hint="eastAsia" w:ascii="宋体" w:hAnsi="宋体"/>
          <w:color w:val="auto"/>
          <w:szCs w:val="21"/>
          <w:highlight w:val="none"/>
        </w:rPr>
        <w:t xml:space="preserve">543058193738 </w:t>
      </w:r>
      <w:r/>
    </w:p>
    <w:p>
      <w:pPr>
        <w:ind w:left="539"/>
        <w:spacing w:line="400" w:lineRule="exact"/>
        <w:rPr>
          <w:rFonts w:hint="eastAsia" w:ascii="宋体" w:hAnsi="宋体"/>
          <w:color w:val="auto"/>
          <w:szCs w:val="21"/>
          <w:highlight w:val="none"/>
        </w:rPr>
      </w:pPr>
      <w:r>
        <w:rPr>
          <w:rFonts w:ascii="宋体" w:hAnsi="宋体"/>
          <w:color w:val="auto"/>
          <w:szCs w:val="21"/>
          <w:highlight w:val="none"/>
        </w:rPr>
        <w:t xml:space="preserve">开户银行：</w:t>
      </w:r>
      <w:r>
        <w:rPr>
          <w:rFonts w:hint="eastAsia" w:ascii="宋体" w:hAnsi="宋体"/>
          <w:color w:val="auto"/>
          <w:szCs w:val="21"/>
          <w:highlight w:val="none"/>
        </w:rPr>
        <w:t xml:space="preserve">中行苏州南园支行</w:t>
      </w:r>
      <w:r/>
    </w:p>
    <w:p>
      <w:pPr>
        <w:numPr>
          <w:ilvl w:val="0"/>
          <w:numId w:val="49"/>
        </w:numPr>
        <w:ind w:left="567" w:hanging="567"/>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磋商说明：</w:t>
      </w:r>
      <w:r/>
    </w:p>
    <w:p>
      <w:pPr>
        <w:numPr>
          <w:ilvl w:val="0"/>
          <w:numId w:val="50"/>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不符合供应商资格要求的磋商响应文件将被拒绝；</w:t>
      </w:r>
      <w:r/>
    </w:p>
    <w:p>
      <w:pPr>
        <w:numPr>
          <w:ilvl w:val="0"/>
          <w:numId w:val="50"/>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参加磋商的供应商必须提供供应商代表的身份证明原件和法定代表人授权委托书原件（法定代表人为磋商代表的可不提供）；</w:t>
      </w:r>
      <w:r/>
    </w:p>
    <w:p>
      <w:pPr>
        <w:numPr>
          <w:ilvl w:val="0"/>
          <w:numId w:val="50"/>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磋商响应文件密封和签署不符合要求的，磋商响应文件将被拒绝；</w:t>
      </w:r>
      <w:r/>
    </w:p>
    <w:p>
      <w:pPr>
        <w:numPr>
          <w:ilvl w:val="0"/>
          <w:numId w:val="50"/>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不同投标（响应）人存在投标(响应)文件制作机器码一致的，视为无效响应； </w:t>
      </w:r>
      <w:r/>
    </w:p>
    <w:p>
      <w:pPr>
        <w:numPr>
          <w:ilvl w:val="0"/>
          <w:numId w:val="50"/>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实质性响应磋商文件不满三家、或进入二次报价的不满三家、或二次报价在采购预算内不满三家的，磋商采购失败。</w:t>
      </w:r>
      <w:r/>
    </w:p>
    <w:p>
      <w:pPr>
        <w:numPr>
          <w:ilvl w:val="0"/>
          <w:numId w:val="50"/>
        </w:numPr>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最终合同单</w:t>
      </w:r>
      <w:r>
        <w:rPr>
          <w:rFonts w:hint="eastAsia" w:ascii="宋体" w:hAnsi="宋体"/>
          <w:color w:val="auto"/>
          <w:highlight w:val="none"/>
        </w:rPr>
        <w:t xml:space="preserve">价按最终总报价同比例下（上）浮。</w:t>
      </w:r>
      <w:r/>
    </w:p>
    <w:p>
      <w:pPr>
        <w:numPr>
          <w:ilvl w:val="0"/>
          <w:numId w:val="49"/>
        </w:numPr>
        <w:ind w:left="567" w:hanging="567"/>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项目的终止</w:t>
      </w:r>
      <w:r/>
    </w:p>
    <w:p>
      <w:pPr>
        <w:ind w:firstLine="539"/>
        <w:spacing w:line="400" w:lineRule="exact"/>
        <w:rPr>
          <w:rFonts w:hint="eastAsia" w:ascii="宋体" w:hAnsi="宋体"/>
          <w:color w:val="auto"/>
          <w:szCs w:val="21"/>
          <w:highlight w:val="none"/>
        </w:rPr>
      </w:pPr>
      <w:r>
        <w:rPr>
          <w:rFonts w:ascii="宋体" w:hAnsi="宋体"/>
          <w:color w:val="auto"/>
          <w:szCs w:val="21"/>
          <w:highlight w:val="none"/>
        </w:rPr>
        <w:t xml:space="preserve">出现下列情形之一的，</w:t>
      </w:r>
      <w:r>
        <w:rPr>
          <w:rFonts w:hint="eastAsia" w:ascii="宋体" w:hAnsi="宋体"/>
          <w:color w:val="auto"/>
          <w:szCs w:val="21"/>
          <w:highlight w:val="none"/>
        </w:rPr>
        <w:t xml:space="preserve">将</w:t>
      </w:r>
      <w:r>
        <w:rPr>
          <w:rFonts w:ascii="宋体" w:hAnsi="宋体"/>
          <w:color w:val="auto"/>
          <w:szCs w:val="21"/>
          <w:highlight w:val="none"/>
        </w:rPr>
        <w:t xml:space="preserve">终止采购活动：</w:t>
      </w:r>
      <w:r/>
    </w:p>
    <w:p>
      <w:pPr>
        <w:numPr>
          <w:ilvl w:val="0"/>
          <w:numId w:val="51"/>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因情况变化，不再符合规定的竞争性磋商采购方式适用情形的；</w:t>
      </w:r>
      <w:r/>
    </w:p>
    <w:p>
      <w:pPr>
        <w:numPr>
          <w:ilvl w:val="0"/>
          <w:numId w:val="51"/>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出现影响采购公正的违法、违规行为的；</w:t>
      </w:r>
      <w:r/>
    </w:p>
    <w:p>
      <w:pPr>
        <w:numPr>
          <w:ilvl w:val="0"/>
          <w:numId w:val="51"/>
        </w:numPr>
        <w:spacing w:line="400" w:lineRule="exact"/>
        <w:tabs>
          <w:tab w:val="left" w:pos="540" w:leader="none"/>
        </w:tabs>
        <w:rPr>
          <w:rFonts w:hint="eastAsia" w:ascii="宋体" w:hAnsi="宋体"/>
          <w:bCs/>
          <w:color w:val="auto"/>
          <w:szCs w:val="21"/>
          <w:highlight w:val="none"/>
        </w:rPr>
      </w:pPr>
      <w:r>
        <w:rPr>
          <w:rFonts w:hint="eastAsia" w:ascii="宋体" w:hAnsi="宋体"/>
          <w:color w:val="auto"/>
          <w:szCs w:val="21"/>
          <w:highlight w:val="none"/>
        </w:rPr>
        <w:t xml:space="preserve">在采购</w:t>
      </w:r>
      <w:r>
        <w:rPr>
          <w:rFonts w:ascii="宋体" w:hAnsi="宋体"/>
          <w:color w:val="auto"/>
          <w:szCs w:val="21"/>
          <w:highlight w:val="none"/>
        </w:rPr>
        <w:t xml:space="preserve">过程中符合竞争要求的供应商或者报价未超过采购预算的供应商不足</w:t>
      </w:r>
      <w:r>
        <w:rPr>
          <w:rFonts w:hint="eastAsia" w:ascii="宋体" w:hAnsi="宋体"/>
          <w:color w:val="auto"/>
          <w:szCs w:val="21"/>
          <w:highlight w:val="none"/>
        </w:rPr>
        <w:t xml:space="preserve">三</w:t>
      </w:r>
      <w:r>
        <w:rPr>
          <w:rFonts w:ascii="宋体" w:hAnsi="宋体"/>
          <w:color w:val="auto"/>
          <w:szCs w:val="21"/>
          <w:highlight w:val="none"/>
        </w:rPr>
        <w:t xml:space="preserve">家的。</w:t>
      </w:r>
      <w:r/>
    </w:p>
    <w:p>
      <w:pPr>
        <w:numPr>
          <w:ilvl w:val="0"/>
          <w:numId w:val="49"/>
        </w:numPr>
        <w:ind w:left="567" w:hanging="567"/>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成交通知书：</w:t>
      </w:r>
      <w:r/>
    </w:p>
    <w:p>
      <w:pPr>
        <w:numPr>
          <w:ilvl w:val="0"/>
          <w:numId w:val="52"/>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确定成交单位后在投标有效期截止前，采购代理机构将以书面形式通知成交的响应单位。</w:t>
      </w:r>
      <w:r/>
    </w:p>
    <w:p>
      <w:pPr>
        <w:numPr>
          <w:ilvl w:val="0"/>
          <w:numId w:val="52"/>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成交通知书将成为合同的组成部分。</w:t>
      </w:r>
      <w:r/>
    </w:p>
    <w:p>
      <w:pPr>
        <w:numPr>
          <w:ilvl w:val="0"/>
          <w:numId w:val="52"/>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采购人或采购代理机构对未成交单位不承担解释未成交原因的义务。</w:t>
      </w:r>
      <w:r/>
    </w:p>
    <w:p>
      <w:pPr>
        <w:numPr>
          <w:ilvl w:val="0"/>
          <w:numId w:val="52"/>
        </w:numPr>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请成交单位在成交结果公告届满之日起30日内,使用CA证书登录“苏采云”系统及时下载成交通知书。因系统存储空</w:t>
      </w:r>
      <w:r>
        <w:rPr>
          <w:rFonts w:hint="eastAsia" w:ascii="宋体" w:hAnsi="宋体"/>
          <w:color w:val="auto"/>
          <w:highlight w:val="none"/>
        </w:rPr>
        <w:t xml:space="preserve">间有限，自成交结果公告届满之日起30日后，“苏采云”系统不再保证提供下载中标通知书服务,因未及时下载而造成的不利后果由成交单位自行承担。</w:t>
      </w:r>
      <w:r/>
    </w:p>
    <w:p>
      <w:pPr>
        <w:numPr>
          <w:ilvl w:val="0"/>
          <w:numId w:val="49"/>
        </w:numPr>
        <w:ind w:left="567" w:hanging="567"/>
        <w:spacing w:line="400" w:lineRule="exact"/>
        <w:tabs>
          <w:tab w:val="left" w:pos="567" w:leader="none"/>
        </w:tabs>
        <w:rPr>
          <w:rFonts w:hint="eastAsia" w:ascii="宋体" w:hAnsi="宋体"/>
          <w:color w:val="auto"/>
          <w:szCs w:val="21"/>
          <w:highlight w:val="none"/>
        </w:rPr>
      </w:pPr>
      <w:r>
        <w:rPr>
          <w:color w:val="auto"/>
          <w:highlight w:val="none"/>
        </w:rPr>
        <w:t xml:space="preserve">参与项目评审的未成交供应商可在成交公告</w:t>
      </w:r>
      <w:r>
        <w:rPr>
          <w:rFonts w:hint="eastAsia"/>
          <w:color w:val="auto"/>
          <w:highlight w:val="none"/>
        </w:rPr>
        <w:t xml:space="preserve">发布</w:t>
      </w:r>
      <w:r>
        <w:rPr>
          <w:color w:val="auto"/>
          <w:highlight w:val="none"/>
        </w:rPr>
        <w:t xml:space="preserve">之</w:t>
      </w:r>
      <w:r>
        <w:rPr>
          <w:rFonts w:ascii="宋体" w:hAnsi="宋体"/>
          <w:color w:val="auto"/>
          <w:highlight w:val="none"/>
        </w:rPr>
        <w:t xml:space="preserve">日起7个工</w:t>
      </w:r>
      <w:r>
        <w:rPr>
          <w:color w:val="auto"/>
          <w:highlight w:val="none"/>
        </w:rPr>
        <w:t xml:space="preserve">作日内电话咨询采购代理机构索取《未成交通知书》，采购代理机构应以电子邮件形式告知。未成交供应商未按约定的时间和方式获取告知信息的，视为自动放弃</w:t>
      </w:r>
      <w:r>
        <w:rPr>
          <w:rFonts w:hint="eastAsia"/>
          <w:color w:val="auto"/>
          <w:highlight w:val="none"/>
        </w:rPr>
        <w:t xml:space="preserve">。</w:t>
      </w:r>
      <w:r/>
    </w:p>
    <w:p>
      <w:pPr>
        <w:numPr>
          <w:ilvl w:val="0"/>
          <w:numId w:val="49"/>
        </w:numPr>
        <w:ind w:left="567" w:hanging="567"/>
        <w:spacing w:line="400" w:lineRule="exact"/>
        <w:tabs>
          <w:tab w:val="left" w:pos="567" w:leader="none"/>
        </w:tabs>
        <w:rPr>
          <w:rFonts w:hint="eastAsia" w:ascii="宋体" w:hAnsi="宋体"/>
          <w:color w:val="auto"/>
          <w:szCs w:val="21"/>
          <w:highlight w:val="none"/>
        </w:rPr>
      </w:pPr>
      <w:r>
        <w:rPr>
          <w:rFonts w:ascii="宋体" w:hAnsi="宋体"/>
          <w:color w:val="auto"/>
          <w:szCs w:val="21"/>
          <w:highlight w:val="none"/>
        </w:rPr>
        <w:t xml:space="preserve">凡涉及</w:t>
      </w:r>
      <w:r>
        <w:rPr>
          <w:rFonts w:hint="eastAsia" w:ascii="宋体" w:hAnsi="宋体"/>
          <w:color w:val="auto"/>
          <w:szCs w:val="21"/>
          <w:highlight w:val="none"/>
        </w:rPr>
        <w:t xml:space="preserve">采购文件</w:t>
      </w:r>
      <w:r>
        <w:rPr>
          <w:rFonts w:ascii="宋体" w:hAnsi="宋体"/>
          <w:color w:val="auto"/>
          <w:szCs w:val="21"/>
          <w:highlight w:val="none"/>
        </w:rPr>
        <w:t xml:space="preserve">的补充说明和修改，均以</w:t>
      </w:r>
      <w:r>
        <w:rPr>
          <w:rFonts w:hint="eastAsia" w:ascii="宋体" w:hAnsi="宋体"/>
          <w:color w:val="auto"/>
          <w:szCs w:val="21"/>
          <w:highlight w:val="none"/>
        </w:rPr>
        <w:t xml:space="preserve">网上发布的</w:t>
      </w:r>
      <w:r>
        <w:rPr>
          <w:rFonts w:ascii="宋体" w:hAnsi="宋体"/>
          <w:color w:val="auto"/>
          <w:szCs w:val="21"/>
          <w:highlight w:val="none"/>
        </w:rPr>
        <w:t xml:space="preserve">通知为准</w:t>
      </w:r>
      <w:r>
        <w:rPr>
          <w:rFonts w:hint="eastAsia" w:ascii="宋体" w:hAnsi="宋体"/>
          <w:color w:val="auto"/>
          <w:szCs w:val="21"/>
          <w:highlight w:val="none"/>
        </w:rPr>
        <w:t xml:space="preserve">。</w:t>
      </w:r>
      <w:r/>
    </w:p>
    <w:p>
      <w:pPr>
        <w:numPr>
          <w:ilvl w:val="0"/>
          <w:numId w:val="17"/>
        </w:numPr>
        <w:ind w:left="525" w:hanging="525"/>
        <w:spacing w:line="400" w:lineRule="exact"/>
        <w:tabs>
          <w:tab w:val="clear" w:pos="420" w:leader="none"/>
          <w:tab w:val="left" w:pos="525" w:leader="none"/>
          <w:tab w:val="left" w:pos="567" w:leader="none"/>
        </w:tabs>
        <w:rPr>
          <w:rFonts w:hint="eastAsia" w:ascii="宋体" w:hAnsi="宋体"/>
          <w:bCs/>
          <w:color w:val="auto"/>
          <w:szCs w:val="21"/>
          <w:highlight w:val="none"/>
        </w:rPr>
      </w:pPr>
      <w:r>
        <w:rPr>
          <w:rFonts w:hint="eastAsia" w:ascii="宋体" w:hAnsi="宋体"/>
          <w:bCs/>
          <w:color w:val="auto"/>
          <w:szCs w:val="21"/>
          <w:highlight w:val="none"/>
        </w:rPr>
        <w:t xml:space="preserve">政府采购相关政策</w:t>
      </w:r>
      <w:r/>
    </w:p>
    <w:p>
      <w:pPr>
        <w:numPr>
          <w:ilvl w:val="0"/>
          <w:numId w:val="53"/>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关于对参与供应商信用记录的政府采购要求：</w:t>
      </w:r>
      <w:r/>
    </w:p>
    <w:p>
      <w:pPr>
        <w:numPr>
          <w:ilvl w:val="0"/>
          <w:numId w:val="54"/>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采购代理机构会在接收响应文件截止时间后，在信用中国</w:t>
      </w:r>
      <w:r>
        <w:rPr>
          <w:rFonts w:hint="eastAsia" w:ascii="宋体" w:hAnsi="宋体"/>
          <w:color w:val="auto"/>
          <w:szCs w:val="21"/>
          <w:highlight w:val="none"/>
          <w:lang w:val="en-US" w:eastAsia="zh-CN"/>
        </w:rPr>
        <w:t xml:space="preserve">等</w:t>
      </w:r>
      <w:r>
        <w:rPr>
          <w:rFonts w:hint="eastAsia" w:ascii="宋体" w:hAnsi="宋体"/>
          <w:color w:val="auto"/>
          <w:szCs w:val="21"/>
          <w:highlight w:val="none"/>
        </w:rPr>
        <w:t xml:space="preserve">网站输入供应商全称或统一社会信用代码查询信用记录，并将查询结果递交评审小组。</w:t>
      </w:r>
      <w:r/>
    </w:p>
    <w:p>
      <w:pPr>
        <w:numPr>
          <w:ilvl w:val="0"/>
          <w:numId w:val="54"/>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A、政府采购严重违法记录，即供应商被全国各级财政部门列入“政府采购严重违法失信行为记录名单”，且在处罚有效期内的。</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B、财政部门与法院、工商、税务等部门联合惩戒的失信信息，包括：</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 被列入失信被执行人名单；</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2) 被列入重大税收违法案件当事人名单；</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54"/>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53"/>
        </w:numPr>
        <w:spacing w:line="400" w:lineRule="exact"/>
        <w:tabs>
          <w:tab w:val="left" w:pos="525" w:leader="none"/>
        </w:tabs>
        <w:rPr>
          <w:rFonts w:hint="eastAsia" w:ascii="宋体" w:hAnsi="宋体"/>
          <w:color w:val="auto"/>
          <w:szCs w:val="21"/>
          <w:highlight w:val="none"/>
        </w:rPr>
      </w:pPr>
      <w:r>
        <w:rPr>
          <w:rFonts w:hint="eastAsia" w:ascii="宋体" w:hAnsi="宋体"/>
          <w:color w:val="auto"/>
          <w:szCs w:val="21"/>
          <w:highlight w:val="none"/>
        </w:rPr>
        <w:t xml:space="preserve">针对中小企业、监狱企业、残疾人企业的评审：</w:t>
      </w:r>
      <w:r/>
    </w:p>
    <w:p>
      <w:pPr>
        <w:ind w:left="540"/>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根据</w:t>
      </w:r>
      <w:r>
        <w:rPr>
          <w:rFonts w:hint="eastAsia" w:ascii="宋体" w:hAnsi="宋体"/>
          <w:color w:val="auto"/>
          <w:highlight w:val="none"/>
        </w:rPr>
        <w:t xml:space="preserve">《政府采购促进中小企业发展管理办法》（财库〔2020〕46号）、《关于促进残疾人就业政府采购政策的通知》（财库〔2017〕141号）、《关于政府采</w:t>
      </w:r>
      <w:r>
        <w:rPr>
          <w:rFonts w:hint="eastAsia" w:ascii="宋体" w:hAnsi="宋体"/>
          <w:color w:val="auto"/>
          <w:highlight w:val="none"/>
        </w:rPr>
        <w:t xml:space="preserve">购支持监狱企业发展有关问题的通知》（财库〔2014〕68号）、《关于做好政府采购支持企业发展有关事项的通知》（苏财购〔2020〕52号）及《关于印发&lt;苏州市政府采购促进中小企业发展实施意见&gt;的通知》（苏财购〔2022〕16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ind w:left="540"/>
        <w:spacing w:line="400" w:lineRule="exact"/>
        <w:tabs>
          <w:tab w:val="left" w:pos="540" w:leader="none"/>
        </w:tabs>
        <w:rPr>
          <w:rFonts w:hint="eastAsia" w:ascii="宋体" w:hAnsi="宋体"/>
          <w:color w:val="auto"/>
          <w:szCs w:val="21"/>
          <w:highlight w:val="none"/>
        </w:rPr>
      </w:pPr>
      <w:r>
        <w:rPr>
          <w:rFonts w:hint="eastAsia" w:ascii="宋体" w:hAnsi="宋体"/>
          <w:color w:val="auto"/>
          <w:highlight w:val="none"/>
        </w:rPr>
        <w:t xml:space="preserve">注：①填报“中小企业声明函”需严格按“工信部联企业〔2011〕300号通知中的《中小企业划型标准规定》进行。②若供应商提供的声明函或认定证明为虚假材料，按“政府采购法”相关规定处理并报请政府监管部门给予行政处罚。</w:t>
      </w:r>
      <w:r/>
    </w:p>
    <w:p>
      <w:pPr>
        <w:numPr>
          <w:ilvl w:val="0"/>
          <w:numId w:val="53"/>
        </w:numPr>
        <w:spacing w:line="400" w:lineRule="exact"/>
        <w:tabs>
          <w:tab w:val="left" w:pos="525" w:leader="none"/>
        </w:tabs>
        <w:rPr>
          <w:rFonts w:hint="eastAsia" w:ascii="宋体" w:hAnsi="宋体"/>
          <w:color w:val="auto"/>
          <w:szCs w:val="21"/>
          <w:highlight w:val="none"/>
        </w:rPr>
      </w:pPr>
      <w:r>
        <w:rPr>
          <w:rFonts w:hint="eastAsia" w:ascii="宋体" w:hAnsi="宋体"/>
          <w:color w:val="auto"/>
          <w:szCs w:val="21"/>
          <w:highlight w:val="none"/>
        </w:rPr>
        <w:t xml:space="preserve">质疑事项</w:t>
      </w:r>
      <w:r/>
    </w:p>
    <w:p>
      <w:pPr>
        <w:numPr>
          <w:ilvl w:val="0"/>
          <w:numId w:val="55"/>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numPr>
          <w:ilvl w:val="0"/>
          <w:numId w:val="56"/>
        </w:numPr>
        <w:ind w:left="567" w:firstLine="0"/>
        <w:spacing w:line="400" w:lineRule="exact"/>
        <w:tabs>
          <w:tab w:val="left" w:pos="540" w:leader="none"/>
        </w:tabs>
        <w:rPr>
          <w:rFonts w:hint="eastAsia" w:ascii="宋体" w:hAnsi="宋体"/>
          <w:color w:val="auto"/>
          <w:highlight w:val="none"/>
        </w:rPr>
      </w:pPr>
      <w:r>
        <w:rPr>
          <w:rFonts w:hint="eastAsia" w:ascii="宋体" w:hAnsi="宋体"/>
          <w:bCs/>
          <w:color w:val="auto"/>
          <w:szCs w:val="21"/>
          <w:highlight w:val="none"/>
        </w:rPr>
        <w:t xml:space="preserve">对</w:t>
      </w:r>
      <w:r>
        <w:rPr>
          <w:rFonts w:hint="eastAsia" w:ascii="宋体" w:hAnsi="宋体"/>
          <w:color w:val="auto"/>
          <w:highlight w:val="none"/>
        </w:rPr>
        <w:t xml:space="preserve">可以质疑的采购文件提出质疑的，为收到采购文件之日或者采购文件公告期限届满之日；</w:t>
      </w:r>
      <w:r/>
    </w:p>
    <w:p>
      <w:pPr>
        <w:numPr>
          <w:ilvl w:val="0"/>
          <w:numId w:val="56"/>
        </w:numPr>
        <w:ind w:left="567" w:firstLine="0"/>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对采购过程提出质疑的，为各采购程序环节结束之日；</w:t>
      </w:r>
      <w:r/>
    </w:p>
    <w:p>
      <w:pPr>
        <w:numPr>
          <w:ilvl w:val="0"/>
          <w:numId w:val="56"/>
        </w:numPr>
        <w:ind w:left="567" w:firstLine="0"/>
        <w:spacing w:line="400" w:lineRule="exact"/>
        <w:tabs>
          <w:tab w:val="left" w:pos="540" w:leader="none"/>
        </w:tabs>
        <w:rPr>
          <w:rFonts w:hint="eastAsia" w:ascii="宋体" w:hAnsi="宋体"/>
          <w:bCs/>
          <w:color w:val="auto"/>
          <w:szCs w:val="21"/>
          <w:highlight w:val="none"/>
        </w:rPr>
      </w:pPr>
      <w:r>
        <w:rPr>
          <w:rFonts w:hint="eastAsia" w:ascii="宋体" w:hAnsi="宋体"/>
          <w:color w:val="auto"/>
          <w:highlight w:val="none"/>
        </w:rPr>
        <w:t xml:space="preserve">对中标或</w:t>
      </w:r>
      <w:r>
        <w:rPr>
          <w:rFonts w:hint="eastAsia" w:ascii="宋体" w:hAnsi="宋体"/>
          <w:bCs/>
          <w:color w:val="auto"/>
          <w:szCs w:val="21"/>
          <w:highlight w:val="none"/>
        </w:rPr>
        <w:t xml:space="preserve">者成交结果提出质疑的，为中标或者成交结果公告期限届满之日。 </w:t>
      </w:r>
      <w:r/>
    </w:p>
    <w:p>
      <w:pPr>
        <w:numPr>
          <w:ilvl w:val="0"/>
          <w:numId w:val="55"/>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numPr>
          <w:ilvl w:val="0"/>
          <w:numId w:val="55"/>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供应商应当在法定质疑期内一次性提出针对同一采购程序环节的质疑。供应商如在法定期限内对同一采购程序环节提出多次质疑的，代理将只对供应商第一次质疑作出答复。</w:t>
      </w:r>
      <w:r>
        <w:rPr>
          <w:rFonts w:ascii="宋体" w:hAnsi="宋体"/>
          <w:bCs/>
          <w:color w:val="auto"/>
          <w:szCs w:val="21"/>
          <w:highlight w:val="none"/>
        </w:rPr>
        <w:t xml:space="preserve">迟于相关规定时间提交的</w:t>
      </w:r>
      <w:r>
        <w:rPr>
          <w:rFonts w:hint="eastAsia" w:ascii="宋体" w:hAnsi="宋体"/>
          <w:bCs/>
          <w:color w:val="auto"/>
          <w:szCs w:val="21"/>
          <w:highlight w:val="none"/>
        </w:rPr>
        <w:t xml:space="preserve">质疑</w:t>
      </w:r>
      <w:r>
        <w:rPr>
          <w:rFonts w:ascii="宋体" w:hAnsi="宋体"/>
          <w:bCs/>
          <w:color w:val="auto"/>
          <w:szCs w:val="21"/>
          <w:highlight w:val="none"/>
        </w:rPr>
        <w:t xml:space="preserve">，</w:t>
      </w:r>
      <w:r>
        <w:rPr>
          <w:rFonts w:hint="eastAsia" w:ascii="宋体" w:hAnsi="宋体"/>
          <w:bCs/>
          <w:color w:val="auto"/>
          <w:szCs w:val="21"/>
          <w:highlight w:val="none"/>
        </w:rPr>
        <w:t xml:space="preserve">采购方或</w:t>
      </w:r>
      <w:r>
        <w:rPr>
          <w:rFonts w:ascii="宋体" w:hAnsi="宋体"/>
          <w:bCs/>
          <w:color w:val="auto"/>
          <w:szCs w:val="21"/>
          <w:highlight w:val="none"/>
        </w:rPr>
        <w:t xml:space="preserve">采购代理机构</w:t>
      </w:r>
      <w:r>
        <w:rPr>
          <w:rFonts w:hint="eastAsia" w:ascii="宋体" w:hAnsi="宋体"/>
          <w:bCs/>
          <w:color w:val="auto"/>
          <w:szCs w:val="21"/>
          <w:highlight w:val="none"/>
        </w:rPr>
        <w:t xml:space="preserve">将按照相关法律法规的规定</w:t>
      </w:r>
      <w:r>
        <w:rPr>
          <w:rFonts w:ascii="宋体" w:hAnsi="宋体"/>
          <w:bCs/>
          <w:color w:val="auto"/>
          <w:szCs w:val="21"/>
          <w:highlight w:val="none"/>
        </w:rPr>
        <w:t xml:space="preserve">拒绝回答</w:t>
      </w:r>
      <w:r>
        <w:rPr>
          <w:rFonts w:hint="eastAsia" w:ascii="宋体" w:hAnsi="宋体"/>
          <w:bCs/>
          <w:color w:val="auto"/>
          <w:szCs w:val="21"/>
          <w:highlight w:val="none"/>
        </w:rPr>
        <w:t xml:space="preserve">。</w:t>
      </w:r>
      <w:r/>
    </w:p>
    <w:p>
      <w:pPr>
        <w:ind w:left="540"/>
        <w:spacing w:line="400" w:lineRule="exact"/>
        <w:tabs>
          <w:tab w:val="left" w:pos="540" w:leader="none"/>
        </w:tabs>
        <w:rPr>
          <w:rFonts w:hint="eastAsia" w:ascii="宋体" w:hAnsi="宋体"/>
          <w:color w:val="auto"/>
          <w:highlight w:val="none"/>
        </w:rPr>
      </w:pPr>
      <w:r>
        <w:rPr>
          <w:rFonts w:hint="eastAsia" w:ascii="宋体" w:hAnsi="宋体"/>
          <w:bCs/>
          <w:color w:val="auto"/>
          <w:szCs w:val="21"/>
          <w:highlight w:val="none"/>
        </w:rPr>
        <w:t xml:space="preserve">质疑</w:t>
      </w:r>
      <w:r>
        <w:rPr>
          <w:rFonts w:hint="eastAsia" w:ascii="宋体" w:hAnsi="宋体"/>
          <w:color w:val="auto"/>
          <w:highlight w:val="none"/>
        </w:rPr>
        <w:t xml:space="preserve">联系部门：业务部-金健</w:t>
      </w:r>
      <w:r/>
    </w:p>
    <w:p>
      <w:pPr>
        <w:ind w:left="540"/>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联系电话：0512-68364647/68361806</w:t>
      </w:r>
      <w:r/>
    </w:p>
    <w:p>
      <w:pPr>
        <w:ind w:left="540"/>
        <w:spacing w:line="400" w:lineRule="exact"/>
        <w:tabs>
          <w:tab w:val="left" w:pos="540" w:leader="none"/>
        </w:tabs>
        <w:rPr>
          <w:rFonts w:hint="eastAsia" w:ascii="宋体" w:hAnsi="宋体"/>
          <w:bCs/>
          <w:color w:val="auto"/>
          <w:szCs w:val="21"/>
          <w:highlight w:val="none"/>
        </w:rPr>
      </w:pPr>
      <w:r>
        <w:rPr>
          <w:rFonts w:hint="eastAsia" w:ascii="宋体" w:hAnsi="宋体"/>
          <w:color w:val="auto"/>
          <w:highlight w:val="none"/>
        </w:rPr>
        <w:t xml:space="preserve">通讯地址：</w:t>
      </w:r>
      <w:r>
        <w:rPr>
          <w:rFonts w:ascii="宋体" w:hAnsi="宋体"/>
          <w:bCs/>
          <w:color w:val="auto"/>
          <w:szCs w:val="21"/>
          <w:highlight w:val="none"/>
        </w:rPr>
        <w:t xml:space="preserve">苏州市</w:t>
      </w:r>
      <w:r>
        <w:rPr>
          <w:rFonts w:hint="eastAsia" w:ascii="宋体" w:hAnsi="宋体"/>
          <w:bCs/>
          <w:color w:val="auto"/>
          <w:szCs w:val="21"/>
          <w:highlight w:val="none"/>
        </w:rPr>
        <w:t xml:space="preserve">三香路万盛大厦13楼B 座</w:t>
      </w:r>
      <w:r/>
    </w:p>
    <w:p>
      <w:pPr>
        <w:numPr>
          <w:ilvl w:val="0"/>
          <w:numId w:val="55"/>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numPr>
          <w:ilvl w:val="0"/>
          <w:numId w:val="55"/>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numPr>
          <w:ilvl w:val="0"/>
          <w:numId w:val="55"/>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numPr>
          <w:ilvl w:val="0"/>
          <w:numId w:val="17"/>
        </w:numPr>
        <w:ind w:left="525" w:hanging="525"/>
        <w:spacing w:line="400" w:lineRule="exact"/>
        <w:tabs>
          <w:tab w:val="clear" w:pos="420" w:leader="none"/>
          <w:tab w:val="left" w:pos="525" w:leader="none"/>
          <w:tab w:val="left" w:pos="567" w:leader="none"/>
        </w:tabs>
        <w:rPr>
          <w:rFonts w:hint="eastAsia" w:ascii="宋体" w:hAnsi="宋体"/>
          <w:bCs/>
          <w:color w:val="auto"/>
          <w:szCs w:val="21"/>
          <w:highlight w:val="none"/>
        </w:rPr>
      </w:pPr>
      <w:r>
        <w:rPr>
          <w:rFonts w:hint="eastAsia" w:ascii="宋体" w:hAnsi="宋体"/>
          <w:bCs/>
          <w:color w:val="auto"/>
          <w:szCs w:val="21"/>
          <w:highlight w:val="none"/>
        </w:rPr>
        <w:t xml:space="preserve">磋商程序：</w:t>
      </w:r>
      <w:r/>
    </w:p>
    <w:p>
      <w:pPr>
        <w:numPr>
          <w:ilvl w:val="0"/>
          <w:numId w:val="57"/>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采购代理机构按本采购文件规定的时间、地点主持磋商采购活动。</w:t>
      </w:r>
      <w:r/>
    </w:p>
    <w:p>
      <w:pPr>
        <w:numPr>
          <w:ilvl w:val="0"/>
          <w:numId w:val="57"/>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供应商通过“苏采云”系统在线参与磋商活动。供应商应当按照《苏采云系统供应商操作手册》规定在“苏采云”系统在规定的时间内对响应文件进行解密，否则视为放弃参与磋商活动。</w:t>
      </w:r>
      <w:r/>
    </w:p>
    <w:p>
      <w:pPr>
        <w:numPr>
          <w:ilvl w:val="0"/>
          <w:numId w:val="57"/>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在磋商响应文件网上递交截止时间止成功解密的磋商供应商少于三家，则本次采购失败。</w:t>
      </w:r>
      <w:r/>
    </w:p>
    <w:p>
      <w:pPr>
        <w:numPr>
          <w:ilvl w:val="0"/>
          <w:numId w:val="57"/>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由磋商小组审查供应商解密的响应文件。</w:t>
      </w:r>
      <w:r/>
    </w:p>
    <w:p>
      <w:pPr>
        <w:numPr>
          <w:ilvl w:val="0"/>
          <w:numId w:val="57"/>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0"/>
          <w:numId w:val="57"/>
        </w:numPr>
        <w:spacing w:line="400" w:lineRule="exact"/>
        <w:tabs>
          <w:tab w:val="left" w:pos="540" w:leader="none"/>
        </w:tabs>
        <w:rPr>
          <w:rFonts w:hint="eastAsia" w:ascii="宋体" w:hAnsi="宋体"/>
          <w:color w:val="auto"/>
          <w:szCs w:val="21"/>
          <w:highlight w:val="none"/>
        </w:rPr>
      </w:pPr>
      <w:r>
        <w:rPr>
          <w:rFonts w:hint="eastAsia" w:ascii="宋体" w:hAnsi="宋体"/>
          <w:color w:val="auto"/>
          <w:highlight w:val="none"/>
        </w:rPr>
        <w:t xml:space="preserve">磋商小组要求供应商澄清、</w:t>
      </w:r>
      <w:r>
        <w:rPr>
          <w:rFonts w:hint="eastAsia" w:ascii="宋体" w:hAnsi="宋体"/>
          <w:color w:val="auto"/>
          <w:szCs w:val="21"/>
          <w:highlight w:val="none"/>
        </w:rPr>
        <w:t xml:space="preserve">说明或者更正响应文件应当以书面形式做出。供应商的澄清、说明或者更正应当由其单位加盖电子公章。</w:t>
      </w:r>
      <w:r/>
    </w:p>
    <w:p>
      <w:pPr>
        <w:numPr>
          <w:ilvl w:val="0"/>
          <w:numId w:val="58"/>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本项目</w:t>
      </w:r>
      <w:r>
        <w:rPr>
          <w:rFonts w:hint="eastAsia" w:ascii="宋体" w:hAnsi="宋体"/>
          <w:color w:val="auto"/>
          <w:highlight w:val="none"/>
        </w:rPr>
        <w:t xml:space="preserve">供应商</w:t>
      </w:r>
      <w:r>
        <w:rPr>
          <w:rFonts w:hint="eastAsia" w:ascii="宋体" w:hAnsi="宋体"/>
          <w:color w:val="auto"/>
          <w:szCs w:val="21"/>
          <w:highlight w:val="none"/>
        </w:rPr>
        <w:t xml:space="preserve">的澄清、说明或者补正采用线上澄清：磋商小组将通过“苏采云”系统向供应商发布“澄清要求</w:t>
      </w:r>
      <w:r>
        <w:rPr>
          <w:rFonts w:hint="eastAsia" w:ascii="宋体" w:hAnsi="宋体"/>
          <w:color w:val="auto"/>
          <w:highlight w:val="none"/>
        </w:rPr>
        <w:t xml:space="preserve">函”，接到“澄清要求函”的供应商应当按要求在规定时间内通过“苏采云”系统提交“澄清响应函”并加盖CA电子公章，澄清、说明和补充的内容作为响应文件的补充部分。（此处规定时间的计算以系统中的倒计时间为准，供应</w:t>
      </w:r>
      <w:r>
        <w:rPr>
          <w:rFonts w:hint="eastAsia" w:ascii="宋体" w:hAnsi="宋体"/>
          <w:color w:val="auto"/>
          <w:szCs w:val="21"/>
          <w:highlight w:val="none"/>
        </w:rPr>
        <w:t xml:space="preserve">商应随时保持系统在线，如因供应商自身原因未在规定时间内提交澄清确认资料的，导致的不利后果由供应商自行承担）。</w:t>
      </w:r>
      <w:r/>
    </w:p>
    <w:p>
      <w:pPr>
        <w:numPr>
          <w:ilvl w:val="0"/>
          <w:numId w:val="57"/>
        </w:numPr>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对</w:t>
      </w:r>
      <w:r>
        <w:rPr>
          <w:rFonts w:hint="eastAsia" w:ascii="宋体" w:hAnsi="宋体"/>
          <w:color w:val="auto"/>
          <w:highlight w:val="none"/>
        </w:rPr>
        <w:t xml:space="preserve">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numPr>
          <w:ilvl w:val="0"/>
          <w:numId w:val="57"/>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numPr>
          <w:ilvl w:val="0"/>
          <w:numId w:val="57"/>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磋商结束后，磋商小组将在“苏采云”系统向所有实质性响应的供应商发布“最后报价要求函”及最后报价格式表，要求所有实质性响应的供应商在规定时间内提交最后报价。</w:t>
      </w:r>
      <w:r/>
    </w:p>
    <w:p>
      <w:pPr>
        <w:numPr>
          <w:ilvl w:val="0"/>
          <w:numId w:val="57"/>
        </w:numPr>
        <w:spacing w:line="400" w:lineRule="exact"/>
        <w:tabs>
          <w:tab w:val="left" w:pos="540" w:leader="none"/>
        </w:tabs>
        <w:rPr>
          <w:rFonts w:hint="eastAsia" w:ascii="宋体" w:hAnsi="宋体"/>
          <w:color w:val="auto"/>
          <w:szCs w:val="21"/>
          <w:highlight w:val="none"/>
        </w:rPr>
      </w:pPr>
      <w:r>
        <w:rPr>
          <w:rFonts w:hint="eastAsia" w:ascii="宋体" w:hAnsi="宋体"/>
          <w:color w:val="auto"/>
          <w:highlight w:val="none"/>
        </w:rPr>
        <w:t xml:space="preserve">供应商未在磋商小组规定的时间内在“苏采云”系统中提交最后报价的视为放弃磋商，其响应文件按无效响应处理，最后报</w:t>
      </w:r>
      <w:r>
        <w:rPr>
          <w:rFonts w:hint="eastAsia" w:ascii="宋体" w:hAnsi="宋体"/>
          <w:color w:val="auto"/>
          <w:szCs w:val="21"/>
          <w:highlight w:val="none"/>
        </w:rPr>
        <w:t xml:space="preserve">价格式表须加盖CA电子公章,否则视为未提交最后报价（此处规定时间的计算以系统中的倒计时间为准，系统中的线上最后报价只有一次机会，提交后无法撤回，请供应商慎重提交）。</w:t>
      </w:r>
      <w:r/>
    </w:p>
    <w:p>
      <w:pPr>
        <w:numPr>
          <w:ilvl w:val="0"/>
          <w:numId w:val="5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已提交响应文件的供应商，在提交最后报价之前，可以根据磋商情况退出磋商，并在“苏采云”系统中提交“退出磋商函”并加盖CA电子公章。</w:t>
      </w:r>
      <w:r/>
    </w:p>
    <w:p>
      <w:pPr>
        <w:numPr>
          <w:ilvl w:val="0"/>
          <w:numId w:val="5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进入项目评审流程后，建议各供应商法定代表人或授权委托人始终保持通讯顺畅，及时登录苏采云系统查阅、答复相关信息。 </w:t>
      </w:r>
      <w:r/>
    </w:p>
    <w:p>
      <w:pPr>
        <w:numPr>
          <w:ilvl w:val="0"/>
          <w:numId w:val="57"/>
        </w:numPr>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经</w:t>
      </w:r>
      <w:r>
        <w:rPr>
          <w:rFonts w:hint="eastAsia" w:ascii="宋体" w:hAnsi="宋体"/>
          <w:color w:val="auto"/>
          <w:highlight w:val="none"/>
        </w:rPr>
        <w:t xml:space="preserve">磋商确定最终采购需求和提交最后报价的供应商后，由磋商小组采用综合评分法对提交最后报价的供应商的响应文件和最后报价进行综合评分。 </w:t>
      </w:r>
      <w:r/>
    </w:p>
    <w:p>
      <w:pPr>
        <w:numPr>
          <w:ilvl w:val="0"/>
          <w:numId w:val="57"/>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磋商小组根据磋商成交原则确定成交供应商，并将结果通知所有参加磋商的供应商。</w:t>
      </w:r>
      <w:r/>
    </w:p>
    <w:p>
      <w:pPr>
        <w:numPr>
          <w:ilvl w:val="0"/>
          <w:numId w:val="57"/>
        </w:numPr>
        <w:spacing w:line="400" w:lineRule="exact"/>
        <w:tabs>
          <w:tab w:val="left" w:pos="540" w:leader="none"/>
        </w:tabs>
        <w:rPr>
          <w:rFonts w:hint="eastAsia" w:ascii="宋体" w:hAnsi="宋体" w:cs="宋体"/>
          <w:color w:val="auto"/>
          <w:szCs w:val="21"/>
          <w:highlight w:val="none"/>
        </w:rPr>
      </w:pPr>
      <w:r>
        <w:rPr>
          <w:rFonts w:hint="eastAsia" w:ascii="宋体" w:hAnsi="宋体"/>
          <w:color w:val="auto"/>
          <w:highlight w:val="none"/>
        </w:rPr>
        <w:t xml:space="preserve">如磋商</w:t>
      </w:r>
      <w:r>
        <w:rPr>
          <w:rFonts w:hint="eastAsia" w:ascii="宋体" w:hAnsi="宋体"/>
          <w:color w:val="auto"/>
          <w:szCs w:val="21"/>
          <w:highlight w:val="none"/>
        </w:rPr>
        <w:t xml:space="preserve">过程中出现本采购文件未尽事宜，由磋商小组根据政府采购有关法律、法规讨论决定。</w:t>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三、磋商成交原则及评分标准</w:t>
      </w:r>
      <w:r/>
    </w:p>
    <w:p>
      <w:pPr>
        <w:ind w:left="-525"/>
        <w:jc w:val="center"/>
        <w:spacing w:line="400" w:lineRule="exact"/>
        <w:tabs>
          <w:tab w:val="left" w:pos="525" w:leader="none"/>
        </w:tabs>
        <w:rPr>
          <w:rFonts w:hint="eastAsia" w:ascii="宋体" w:hAnsi="宋体"/>
          <w:bCs/>
          <w:color w:val="auto"/>
          <w:highlight w:val="none"/>
        </w:rPr>
      </w:pPr>
      <w:r>
        <w:rPr>
          <w:rFonts w:hint="eastAsia" w:ascii="宋体" w:hAnsi="宋体"/>
          <w:bCs/>
          <w:color w:val="auto"/>
          <w:highlight w:val="none"/>
        </w:rPr>
      </w:r>
      <w:r/>
    </w:p>
    <w:p>
      <w:pPr>
        <w:ind w:left="-525"/>
        <w:jc w:val="center"/>
        <w:spacing w:line="400" w:lineRule="exact"/>
        <w:tabs>
          <w:tab w:val="left" w:pos="525" w:leader="none"/>
        </w:tabs>
        <w:rPr>
          <w:rFonts w:hint="eastAsia" w:ascii="宋体" w:hAnsi="宋体"/>
          <w:b/>
          <w:color w:val="auto"/>
          <w:highlight w:val="none"/>
        </w:rPr>
      </w:pPr>
      <w:r>
        <w:rPr>
          <w:rFonts w:hint="eastAsia" w:ascii="宋体" w:hAnsi="宋体"/>
          <w:b/>
          <w:color w:val="auto"/>
          <w:highlight w:val="none"/>
        </w:rPr>
        <w:t xml:space="preserve">成交原则</w:t>
      </w:r>
      <w:r/>
    </w:p>
    <w:p>
      <w:pPr>
        <w:numPr>
          <w:ilvl w:val="0"/>
          <w:numId w:val="60"/>
        </w:numPr>
        <w:spacing w:line="400" w:lineRule="exact"/>
        <w:tabs>
          <w:tab w:val="left" w:pos="840" w:leader="none"/>
          <w:tab w:val="left" w:pos="2870" w:leader="none"/>
        </w:tabs>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本次</w:t>
      </w:r>
      <w:r>
        <w:rPr>
          <w:rFonts w:hint="eastAsia" w:ascii="宋体" w:hAnsi="宋体"/>
          <w:color w:val="auto"/>
          <w:szCs w:val="21"/>
          <w:highlight w:val="none"/>
          <w:shd w:val="clear" w:color="auto" w:fill="auto"/>
        </w:rPr>
        <w:t xml:space="preserve">采购采用综合评分法，即在</w:t>
      </w:r>
      <w:r>
        <w:rPr>
          <w:rFonts w:ascii="宋体" w:hAnsi="宋体"/>
          <w:color w:val="auto"/>
          <w:szCs w:val="21"/>
          <w:highlight w:val="none"/>
          <w:shd w:val="clear" w:color="auto" w:fill="auto"/>
        </w:rPr>
        <w:t xml:space="preserve">响应文件满足磋商文件全部实质性要求</w:t>
      </w:r>
      <w:r>
        <w:rPr>
          <w:rFonts w:hint="eastAsia" w:ascii="宋体" w:hAnsi="宋体"/>
          <w:color w:val="auto"/>
          <w:szCs w:val="21"/>
          <w:highlight w:val="none"/>
          <w:shd w:val="clear" w:color="auto" w:fill="auto"/>
        </w:rPr>
        <w:t xml:space="preserve">，</w:t>
      </w:r>
      <w:r>
        <w:rPr>
          <w:rFonts w:ascii="宋体" w:hAnsi="宋体"/>
          <w:color w:val="auto"/>
          <w:szCs w:val="21"/>
          <w:highlight w:val="none"/>
          <w:shd w:val="clear" w:color="auto" w:fill="auto"/>
        </w:rPr>
        <w:t xml:space="preserve">且按评审因素的量化指标</w:t>
      </w:r>
      <w:r>
        <w:rPr>
          <w:rFonts w:hint="eastAsia" w:ascii="宋体" w:hAnsi="宋体"/>
          <w:color w:val="auto"/>
          <w:szCs w:val="21"/>
          <w:highlight w:val="none"/>
          <w:shd w:val="clear" w:color="auto" w:fill="auto"/>
        </w:rPr>
        <w:t xml:space="preserve">进行</w:t>
      </w:r>
      <w:r>
        <w:rPr>
          <w:rFonts w:ascii="宋体" w:hAnsi="宋体"/>
          <w:color w:val="auto"/>
          <w:szCs w:val="21"/>
          <w:highlight w:val="none"/>
          <w:shd w:val="clear" w:color="auto" w:fill="auto"/>
        </w:rPr>
        <w:t xml:space="preserve">评审</w:t>
      </w:r>
      <w:r>
        <w:rPr>
          <w:rFonts w:hint="eastAsia" w:ascii="宋体" w:hAnsi="宋体"/>
          <w:color w:val="auto"/>
          <w:szCs w:val="21"/>
          <w:highlight w:val="none"/>
          <w:shd w:val="clear" w:color="auto" w:fill="auto"/>
        </w:rPr>
        <w:t xml:space="preserve">综合，</w:t>
      </w:r>
      <w:r>
        <w:rPr>
          <w:rFonts w:hint="eastAsia"/>
          <w:color w:val="auto"/>
          <w:highlight w:val="none"/>
          <w:shd w:val="clear" w:color="auto" w:fill="auto"/>
        </w:rPr>
        <w:t xml:space="preserve">综合得分最高的响应供应商成为成交供应商。</w:t>
      </w:r>
      <w:r/>
    </w:p>
    <w:p>
      <w:pPr>
        <w:numPr>
          <w:ilvl w:val="0"/>
          <w:numId w:val="60"/>
        </w:numPr>
        <w:spacing w:line="400" w:lineRule="exact"/>
        <w:tabs>
          <w:tab w:val="left" w:pos="840" w:leader="none"/>
          <w:tab w:val="left" w:pos="2870" w:leader="none"/>
        </w:tabs>
        <w:rPr>
          <w:rFonts w:hint="eastAsia" w:ascii="宋体" w:hAnsi="宋体" w:cs="宋体"/>
          <w:color w:val="auto"/>
          <w:highlight w:val="none"/>
          <w:shd w:val="clear" w:color="auto" w:fill="auto"/>
        </w:rPr>
      </w:pPr>
      <w:r>
        <w:rPr>
          <w:rFonts w:hint="eastAsia" w:ascii="宋体" w:hAnsi="宋体"/>
          <w:color w:val="auto"/>
          <w:szCs w:val="21"/>
          <w:highlight w:val="none"/>
          <w:shd w:val="clear" w:color="auto" w:fill="auto"/>
        </w:rPr>
        <w:t xml:space="preserve">如出现评标总得分最高的磋商响应单位有两个以上的，以实际</w:t>
      </w:r>
      <w:r>
        <w:rPr>
          <w:rFonts w:ascii="宋体" w:hAnsi="宋体"/>
          <w:color w:val="auto"/>
          <w:szCs w:val="21"/>
          <w:highlight w:val="none"/>
          <w:shd w:val="clear" w:color="auto" w:fill="auto"/>
        </w:rPr>
        <w:t xml:space="preserve">投标报价较低者优先作为</w:t>
      </w:r>
      <w:r>
        <w:rPr>
          <w:rFonts w:hint="eastAsia" w:ascii="宋体" w:hAnsi="宋体"/>
          <w:color w:val="auto"/>
          <w:szCs w:val="21"/>
          <w:highlight w:val="none"/>
          <w:shd w:val="clear" w:color="auto" w:fill="auto"/>
        </w:rPr>
        <w:t xml:space="preserve">成交</w:t>
      </w:r>
      <w:r>
        <w:rPr>
          <w:rFonts w:ascii="宋体" w:hAnsi="宋体"/>
          <w:color w:val="auto"/>
          <w:szCs w:val="21"/>
          <w:highlight w:val="none"/>
          <w:shd w:val="clear" w:color="auto" w:fill="auto"/>
        </w:rPr>
        <w:t xml:space="preserve">候选人</w:t>
      </w:r>
      <w:r>
        <w:rPr>
          <w:rFonts w:hint="eastAsia" w:ascii="宋体" w:hAnsi="宋体"/>
          <w:color w:val="auto"/>
          <w:szCs w:val="21"/>
          <w:highlight w:val="none"/>
          <w:shd w:val="clear" w:color="auto" w:fill="auto"/>
        </w:rPr>
        <w:t xml:space="preserve">；</w:t>
      </w:r>
      <w:r>
        <w:rPr>
          <w:rFonts w:ascii="宋体" w:hAnsi="宋体"/>
          <w:color w:val="auto"/>
          <w:szCs w:val="21"/>
          <w:highlight w:val="none"/>
          <w:shd w:val="clear" w:color="auto" w:fill="auto"/>
        </w:rPr>
        <w:t xml:space="preserve">如果</w:t>
      </w:r>
      <w:r>
        <w:rPr>
          <w:rFonts w:hint="eastAsia" w:ascii="宋体" w:hAnsi="宋体"/>
          <w:color w:val="auto"/>
          <w:szCs w:val="21"/>
          <w:highlight w:val="none"/>
          <w:shd w:val="clear" w:color="auto" w:fill="auto"/>
        </w:rPr>
        <w:t xml:space="preserve">投标报</w:t>
      </w:r>
      <w:r>
        <w:rPr>
          <w:rFonts w:hint="eastAsia" w:ascii="宋体" w:hAnsi="宋体" w:cs="宋体"/>
          <w:color w:val="auto"/>
          <w:szCs w:val="21"/>
          <w:highlight w:val="none"/>
          <w:shd w:val="clear" w:color="auto" w:fill="auto"/>
        </w:rPr>
        <w:t xml:space="preserve">价也相同的，则由代理机构组织以抽签方式确定成交候选人</w:t>
      </w:r>
      <w:r>
        <w:rPr>
          <w:rFonts w:hint="eastAsia" w:ascii="宋体" w:hAnsi="宋体" w:cs="宋体"/>
          <w:color w:val="auto"/>
          <w:highlight w:val="none"/>
          <w:shd w:val="clear" w:color="auto" w:fill="auto"/>
        </w:rPr>
        <w:t xml:space="preserve">。</w:t>
      </w:r>
      <w:r/>
    </w:p>
    <w:p>
      <w:pPr>
        <w:numPr>
          <w:ilvl w:val="0"/>
          <w:numId w:val="60"/>
        </w:numPr>
        <w:spacing w:line="400" w:lineRule="exact"/>
        <w:tabs>
          <w:tab w:val="left" w:pos="840" w:leader="none"/>
          <w:tab w:val="left" w:pos="2870" w:leader="none"/>
        </w:tabs>
        <w:rPr>
          <w:rFonts w:hint="eastAsia" w:ascii="宋体" w:hAnsi="宋体" w:cs="宋体"/>
          <w:color w:val="auto"/>
          <w:szCs w:val="21"/>
          <w:highlight w:val="none"/>
          <w:shd w:val="clear" w:color="auto" w:fill="auto"/>
        </w:rPr>
      </w:pPr>
      <w:r>
        <w:rPr>
          <w:rFonts w:hint="eastAsia" w:ascii="宋体" w:hAnsi="宋体" w:eastAsia="宋体" w:cs="Times New Roman"/>
          <w:color w:val="auto"/>
          <w:szCs w:val="21"/>
          <w:highlight w:val="none"/>
          <w:shd w:val="clear" w:color="auto" w:fill="auto"/>
        </w:rPr>
        <w:t xml:space="preserve">评审</w:t>
      </w:r>
      <w:r>
        <w:rPr>
          <w:rFonts w:hint="eastAsia" w:ascii="宋体" w:hAnsi="宋体" w:cs="宋体"/>
          <w:color w:val="auto"/>
          <w:szCs w:val="21"/>
          <w:highlight w:val="none"/>
          <w:shd w:val="clear" w:color="auto" w:fill="auto"/>
        </w:rPr>
        <w:t xml:space="preserve">过程中出现下列情形之一的，评审委员会</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启动异常低价投标（响应）审查程序：</w:t>
      </w:r>
      <w:r/>
    </w:p>
    <w:p>
      <w:pPr>
        <w:numPr>
          <w:ilvl w:val="0"/>
          <w:numId w:val="61"/>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全部通过符合性审查供应商投标（响应）报价平均值50%的，即投标（响应）报价＜全部通过符合性审查供应商投标（响应）报价平均值</w:t>
      </w:r>
      <w:r>
        <w:rPr>
          <w:rFonts w:hint="eastAsia" w:ascii="宋体" w:hAnsi="宋体" w:cs="宋体"/>
          <w:color w:val="auto"/>
          <w:szCs w:val="21"/>
          <w:highlight w:val="none"/>
          <w:shd w:val="clear" w:color="auto" w:fill="auto"/>
        </w:rPr>
        <w:t xml:space="preserve">×50%</w:t>
      </w:r>
      <w:r>
        <w:rPr>
          <w:rFonts w:hint="eastAsia" w:ascii="宋体" w:hAnsi="宋体" w:cs="宋体"/>
          <w:color w:val="auto"/>
          <w:szCs w:val="21"/>
          <w:highlight w:val="none"/>
          <w:shd w:val="clear" w:color="auto" w:fill="auto"/>
          <w:lang w:eastAsia="zh-CN"/>
        </w:rPr>
        <w:t xml:space="preserve">；</w:t>
      </w:r>
      <w:r/>
    </w:p>
    <w:p>
      <w:pPr>
        <w:numPr>
          <w:ilvl w:val="0"/>
          <w:numId w:val="61"/>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通过符合性审查的次低报价供应商投标（响应）报价50%的，即投标（响应）报价＜通过符合性审查的次低报价供应商投标（响应）报价</w:t>
      </w:r>
      <w:r>
        <w:rPr>
          <w:rFonts w:hint="eastAsia" w:ascii="宋体" w:hAnsi="宋体" w:cs="宋体"/>
          <w:color w:val="auto"/>
          <w:szCs w:val="21"/>
          <w:highlight w:val="none"/>
          <w:shd w:val="clear" w:color="auto" w:fill="auto"/>
        </w:rPr>
        <w:t xml:space="preserve">×</w:t>
      </w:r>
      <w:r>
        <w:rPr>
          <w:rFonts w:hint="eastAsia" w:ascii="宋体" w:hAnsi="宋体" w:cs="宋体"/>
          <w:color w:val="auto"/>
          <w:szCs w:val="21"/>
          <w:highlight w:val="none"/>
          <w:shd w:val="clear" w:color="auto" w:fill="auto"/>
          <w:lang w:val="en-US" w:eastAsia="zh-CN"/>
        </w:rPr>
        <w:t xml:space="preserve">50%；</w:t>
      </w:r>
      <w:r/>
    </w:p>
    <w:p>
      <w:pPr>
        <w:numPr>
          <w:ilvl w:val="0"/>
          <w:numId w:val="61"/>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投标（响应）报价低于采购项目最高限价45%的，即投标（响应）报价</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采购项目最高限价×45%；</w:t>
      </w:r>
      <w:r/>
    </w:p>
    <w:p>
      <w:pPr>
        <w:numPr>
          <w:ilvl w:val="0"/>
          <w:numId w:val="61"/>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评审委员会</w:t>
      </w:r>
      <w:r>
        <w:rPr>
          <w:rFonts w:hint="eastAsia" w:ascii="宋体" w:hAnsi="宋体" w:cs="宋体"/>
          <w:color w:val="auto"/>
          <w:szCs w:val="21"/>
          <w:highlight w:val="none"/>
          <w:shd w:val="clear" w:color="auto" w:fill="auto"/>
          <w:lang w:val="en-US" w:eastAsia="zh-CN"/>
        </w:rPr>
        <w:t xml:space="preserve">基于专业判断，认为</w:t>
      </w:r>
      <w:r>
        <w:rPr>
          <w:rFonts w:hint="eastAsia" w:ascii="宋体" w:hAnsi="宋体" w:cs="宋体"/>
          <w:color w:val="auto"/>
          <w:szCs w:val="21"/>
          <w:highlight w:val="none"/>
          <w:shd w:val="clear" w:color="auto" w:fill="auto"/>
        </w:rPr>
        <w:t xml:space="preserve">供应商报价过低</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rPr>
        <w:t xml:space="preserve">有可能影响产品质量或者不能诚信履约的其他情形。</w:t>
      </w:r>
      <w:r/>
    </w:p>
    <w:p>
      <w:pPr>
        <w:numPr>
          <w:ilvl w:val="0"/>
          <w:numId w:val="60"/>
        </w:numPr>
        <w:spacing w:line="400" w:lineRule="exact"/>
        <w:tabs>
          <w:tab w:val="left" w:pos="840" w:leader="none"/>
          <w:tab w:val="left" w:pos="287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评审委员会启动异常低价投标(响应)审查后，属于前述第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项至第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4</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3</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项情形，供应商已随投标(响应)文件一并提交相关书面说明及必要的证明材料的，在评审现场可不再重复提交。</w:t>
      </w:r>
      <w:r/>
    </w:p>
    <w:p>
      <w:pPr>
        <w:numPr>
          <w:ilvl w:val="0"/>
          <w:numId w:val="60"/>
        </w:numPr>
        <w:spacing w:line="400" w:lineRule="exact"/>
        <w:tabs>
          <w:tab w:val="left" w:pos="840" w:leader="none"/>
          <w:tab w:val="left" w:pos="2870" w:leader="none"/>
        </w:tabs>
        <w:rPr>
          <w:rFonts w:ascii="宋体" w:hAnsi="宋体"/>
          <w:color w:val="auto"/>
          <w:highlight w:val="none"/>
          <w:shd w:val="clear" w:color="auto" w:fill="auto"/>
        </w:rPr>
      </w:pPr>
      <w:r>
        <w:rPr>
          <w:rFonts w:hint="eastAsia" w:ascii="宋体" w:hAnsi="宋体" w:cs="宋体"/>
          <w:color w:val="auto"/>
          <w:szCs w:val="21"/>
          <w:highlight w:val="none"/>
          <w:shd w:val="clear" w:color="auto" w:fill="auto"/>
        </w:rPr>
        <w:t xml:space="preserve">评审委员会依据专业经验，参考同类项目中标(成交)价格、类似产品市场价格水平、行业人工费用标准、</w:t>
      </w:r>
      <w:r>
        <w:rPr>
          <w:rFonts w:hint="eastAsia" w:ascii="宋体" w:hAnsi="宋体" w:eastAsia="宋体" w:cs="Times New Roman"/>
          <w:color w:val="auto"/>
          <w:szCs w:val="21"/>
          <w:highlight w:val="none"/>
          <w:shd w:val="clear" w:color="auto" w:fill="auto"/>
        </w:rPr>
        <w:t xml:space="preserve">国家</w:t>
      </w:r>
      <w:r>
        <w:rPr>
          <w:rFonts w:hint="eastAsia" w:ascii="宋体" w:hAnsi="宋体" w:cs="宋体"/>
          <w:color w:val="auto"/>
          <w:szCs w:val="21"/>
          <w:highlight w:val="none"/>
          <w:shd w:val="clear" w:color="auto" w:fill="auto"/>
        </w:rPr>
        <w:t xml:space="preserve">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525"/>
        <w:jc w:val="center"/>
        <w:spacing w:line="400" w:lineRule="exact"/>
        <w:tabs>
          <w:tab w:val="left" w:pos="525" w:leader="none"/>
        </w:tabs>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评分标准</w:t>
      </w:r>
      <w:r/>
    </w:p>
    <w:p>
      <w:pPr>
        <w:numPr>
          <w:ilvl w:val="0"/>
          <w:numId w:val="62"/>
        </w:numPr>
        <w:ind w:left="567" w:hanging="567"/>
        <w:keepLines w:val="0"/>
        <w:keepNext w:val="0"/>
        <w:pageBreakBefore w:val="0"/>
        <w:spacing w:line="400" w:lineRule="exact"/>
        <w:widowControl w:val="off"/>
        <w:tabs>
          <w:tab w:val="left" w:pos="567" w:leader="none"/>
        </w:tabs>
        <w:rPr>
          <w:rFonts w:hint="eastAsia" w:ascii="宋体" w:hAnsi="宋体" w:eastAsia="宋体" w:cs="宋体"/>
          <w:b/>
          <w:color w:val="auto"/>
          <w:szCs w:val="21"/>
          <w:highlight w:val="none"/>
        </w:rPr>
      </w:pPr>
      <w:r/>
      <w:bookmarkStart w:id="19" w:name="_Hlk165988719"/>
      <w:r>
        <w:rPr>
          <w:rFonts w:hint="eastAsia" w:ascii="宋体" w:hAnsi="宋体" w:eastAsia="宋体" w:cs="宋体"/>
          <w:b/>
          <w:color w:val="auto"/>
          <w:szCs w:val="21"/>
          <w:highlight w:val="none"/>
        </w:rPr>
        <w:t xml:space="preserve">价格分（10分）</w:t>
      </w:r>
      <w:r/>
    </w:p>
    <w:p>
      <w:pPr>
        <w:numPr>
          <w:ilvl w:val="0"/>
          <w:numId w:val="63"/>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bookmarkStart w:id="20" w:name="OLE_LINK3"/>
      <w:r/>
      <w:bookmarkStart w:id="21" w:name="OLE_LINK19"/>
      <w:r/>
      <w:bookmarkStart w:id="22" w:name="OLE_LINK7"/>
      <w:r/>
      <w:bookmarkStart w:id="23" w:name="OLE_LINK9"/>
      <w:r>
        <w:rPr>
          <w:rFonts w:hint="eastAsia" w:ascii="宋体" w:hAnsi="宋体" w:eastAsia="宋体" w:cs="宋体"/>
          <w:color w:val="auto"/>
          <w:szCs w:val="21"/>
          <w:highlight w:val="none"/>
        </w:rPr>
        <w:t xml:space="preserve">磋商报价不超过采购预算价格的，为有效磋商报价。超出此范围的磋商报价为无效磋商报价。无效磋</w:t>
      </w:r>
      <w:r>
        <w:rPr>
          <w:rFonts w:hint="eastAsia" w:ascii="宋体" w:hAnsi="宋体" w:eastAsia="宋体" w:cs="宋体"/>
          <w:color w:val="auto"/>
          <w:sz w:val="21"/>
          <w:szCs w:val="21"/>
          <w:highlight w:val="none"/>
        </w:rPr>
        <w:t xml:space="preserve">商报价的响应文件不进行评审，也不得标。</w:t>
      </w:r>
      <w:r/>
    </w:p>
    <w:p>
      <w:pPr>
        <w:numPr>
          <w:ilvl w:val="0"/>
          <w:numId w:val="63"/>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价格得分计算方法：根据各响应单位通过符合性审查的有效磋商报价中的最低价作为评标基准价，其价格分为满分。</w:t>
      </w:r>
      <w:r/>
    </w:p>
    <w:p>
      <w:pPr>
        <w:ind w:firstLine="567"/>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其他响应单位的价格分统一按照下列公式计算：</w:t>
      </w:r>
      <w:r/>
    </w:p>
    <w:p>
      <w:pPr>
        <w:ind w:firstLine="567"/>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磋商报价得分=(评标基准价／磋商报价)×价格权值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×100，小数点后保留两位。</w:t>
      </w:r>
      <w:bookmarkEnd w:id="20"/>
      <w:r/>
      <w:bookmarkEnd w:id="21"/>
      <w:r/>
      <w:r/>
    </w:p>
    <w:p>
      <w:pPr>
        <w:numPr>
          <w:ilvl w:val="0"/>
          <w:numId w:val="62"/>
        </w:numPr>
        <w:ind w:left="567" w:hanging="567"/>
        <w:keepLines w:val="0"/>
        <w:keepNext w:val="0"/>
        <w:pageBreakBefore w:val="0"/>
        <w:spacing w:line="400" w:lineRule="exact"/>
        <w:widowControl w:val="off"/>
        <w:tabs>
          <w:tab w:val="left" w:pos="567"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技术服务方案</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水平</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69</w:t>
      </w:r>
      <w:r>
        <w:rPr>
          <w:rFonts w:hint="eastAsia" w:ascii="宋体" w:hAnsi="宋体" w:eastAsia="宋体" w:cs="宋体"/>
          <w:b/>
          <w:color w:val="auto"/>
          <w:sz w:val="21"/>
          <w:szCs w:val="21"/>
          <w:highlight w:val="none"/>
        </w:rPr>
        <w:t xml:space="preserve">分）</w:t>
      </w:r>
      <w:r/>
    </w:p>
    <w:p>
      <w:pPr>
        <w:numPr>
          <w:ilvl w:val="0"/>
          <w:numId w:val="64"/>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项目理解分析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10分</w:t>
      </w:r>
      <w:r>
        <w:rPr>
          <w:rFonts w:hint="eastAsia" w:ascii="宋体" w:hAnsi="宋体" w:eastAsia="宋体" w:cs="宋体"/>
          <w:color w:val="auto"/>
          <w:sz w:val="21"/>
          <w:szCs w:val="21"/>
          <w:highlight w:val="none"/>
          <w:lang w:eastAsia="zh-CN"/>
        </w:rPr>
        <w:t xml:space="preserve">）</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对本项目的</w:t>
      </w:r>
      <w:r>
        <w:rPr>
          <w:rFonts w:hint="eastAsia" w:ascii="宋体" w:hAnsi="宋体" w:eastAsia="宋体" w:cs="宋体"/>
          <w:color w:val="auto"/>
          <w:sz w:val="21"/>
          <w:szCs w:val="21"/>
          <w:highlight w:val="none"/>
          <w:lang w:val="en-US" w:eastAsia="zh-CN"/>
        </w:rPr>
        <w:t xml:space="preserve">概况</w:t>
      </w:r>
      <w:r>
        <w:rPr>
          <w:rFonts w:hint="eastAsia" w:ascii="宋体" w:hAnsi="宋体" w:eastAsia="宋体" w:cs="宋体"/>
          <w:color w:val="auto"/>
          <w:sz w:val="21"/>
          <w:szCs w:val="21"/>
          <w:highlight w:val="none"/>
        </w:rPr>
        <w:t xml:space="preserve">背景、采购需求的理解分析，理解透彻、到位，分析全面、合理得10分；理解较到位，分析较全面得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分；理解分析基本全面得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分；理解分析不太全面得1分；否则不得分。</w:t>
      </w:r>
      <w:r/>
    </w:p>
    <w:p>
      <w:pPr>
        <w:numPr>
          <w:ilvl w:val="0"/>
          <w:numId w:val="64"/>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站点现状分析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合理化建议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对项目所运维站点现状（包括但不限于站点设备分析、八方位图、周边污染情况、专项管控建议等内容）进行分析，分析透彻、到位，理解全面、合理得12分；分析较到位，理解较全面得8分；分析、理解基本全面、基本准确得5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分析理解不太准确的得2分；否则不得分。</w:t>
      </w:r>
      <w:r/>
    </w:p>
    <w:p>
      <w:pPr>
        <w:numPr>
          <w:ilvl w:val="0"/>
          <w:numId w:val="64"/>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运行维护方案及工作计划</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10分</w:t>
      </w:r>
      <w:r>
        <w:rPr>
          <w:rFonts w:hint="eastAsia" w:ascii="宋体" w:hAnsi="宋体" w:eastAsia="宋体" w:cs="宋体"/>
          <w:color w:val="auto"/>
          <w:sz w:val="21"/>
          <w:szCs w:val="21"/>
          <w:highlight w:val="none"/>
          <w:lang w:eastAsia="zh-CN"/>
        </w:rPr>
        <w:t xml:space="preserve">）</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方案完整、合理、可行、规范性强、有保障得10分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方案较合理、较可行、基本有保障得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方案基本合理、基本可行得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方案不太合理、不太可行得1分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否则不得分。</w:t>
      </w:r>
      <w:r/>
    </w:p>
    <w:p>
      <w:pPr>
        <w:numPr>
          <w:ilvl w:val="0"/>
          <w:numId w:val="64"/>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对运维的难点、要点和关键部分的分析及应对措施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10分</w:t>
      </w:r>
      <w:r>
        <w:rPr>
          <w:rFonts w:hint="eastAsia" w:ascii="宋体" w:hAnsi="宋体" w:eastAsia="宋体" w:cs="宋体"/>
          <w:color w:val="auto"/>
          <w:sz w:val="21"/>
          <w:szCs w:val="21"/>
          <w:highlight w:val="none"/>
          <w:lang w:eastAsia="zh-CN"/>
        </w:rPr>
        <w:t xml:space="preserve">）</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方案完整、合理、可行、有针对性得10分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方案较合理、较可行、基本有针对性得8分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方案基本合理、基本可行得5分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方案不太合理、不太可行得1分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否则不得分。</w:t>
      </w:r>
      <w:r/>
    </w:p>
    <w:p>
      <w:pPr>
        <w:numPr>
          <w:ilvl w:val="0"/>
          <w:numId w:val="64"/>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走航</w:t>
      </w:r>
      <w:r>
        <w:rPr>
          <w:rFonts w:hint="eastAsia" w:ascii="宋体" w:hAnsi="宋体" w:eastAsia="宋体" w:cs="宋体"/>
          <w:color w:val="auto"/>
          <w:sz w:val="21"/>
          <w:szCs w:val="21"/>
          <w:highlight w:val="none"/>
          <w:lang w:val="en-US" w:eastAsia="zh-CN"/>
        </w:rPr>
        <w:t xml:space="preserve">监测</w:t>
      </w:r>
      <w:r>
        <w:rPr>
          <w:rFonts w:hint="eastAsia" w:ascii="宋体" w:hAnsi="宋体" w:eastAsia="宋体" w:cs="宋体"/>
          <w:color w:val="auto"/>
          <w:sz w:val="21"/>
          <w:szCs w:val="21"/>
          <w:highlight w:val="none"/>
        </w:rPr>
        <w:t xml:space="preserve">服务方案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根据供应商针对本项目提供的走航</w:t>
      </w:r>
      <w:r>
        <w:rPr>
          <w:rFonts w:hint="eastAsia" w:ascii="宋体" w:hAnsi="宋体" w:eastAsia="宋体" w:cs="宋体"/>
          <w:color w:val="auto"/>
          <w:sz w:val="21"/>
          <w:szCs w:val="21"/>
          <w:highlight w:val="none"/>
          <w:lang w:val="en-US" w:eastAsia="zh-CN"/>
        </w:rPr>
        <w:t xml:space="preserve">监测</w:t>
      </w:r>
      <w:r>
        <w:rPr>
          <w:rFonts w:hint="eastAsia" w:ascii="宋体" w:hAnsi="宋体" w:eastAsia="宋体" w:cs="宋体"/>
          <w:color w:val="auto"/>
          <w:sz w:val="21"/>
          <w:szCs w:val="21"/>
          <w:highlight w:val="none"/>
        </w:rPr>
        <w:t xml:space="preserve">服务方案进行综合评审，方案内容包括但不限于VOCs走航监测服务方案及数据分析模板、空气六参数走航监测服务及数据分析模板等内容，方案案要素针对性强、完整无缺项、详实、阐述清晰、可操作性强，完全满足项目需求的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方案较完整，虽存在部分内容表述不足但其内容</w:t>
      </w:r>
      <w:r>
        <w:rPr>
          <w:rFonts w:hint="eastAsia" w:ascii="宋体" w:hAnsi="宋体" w:eastAsia="宋体" w:cs="宋体"/>
          <w:color w:val="auto"/>
          <w:sz w:val="21"/>
          <w:szCs w:val="21"/>
          <w:highlight w:val="none"/>
          <w:lang w:val="en-US" w:eastAsia="zh-CN"/>
        </w:rPr>
        <w:t xml:space="preserve">较完整</w:t>
      </w:r>
      <w:r>
        <w:rPr>
          <w:rFonts w:hint="eastAsia" w:ascii="宋体" w:hAnsi="宋体" w:eastAsia="宋体" w:cs="宋体"/>
          <w:color w:val="auto"/>
          <w:sz w:val="21"/>
          <w:szCs w:val="21"/>
          <w:highlight w:val="none"/>
        </w:rPr>
        <w:t xml:space="preserve">、具有可操作性的得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方案中有缺项，其内容</w:t>
      </w:r>
      <w:r>
        <w:rPr>
          <w:rFonts w:hint="eastAsia" w:ascii="宋体" w:hAnsi="宋体" w:eastAsia="宋体" w:cs="宋体"/>
          <w:color w:val="auto"/>
          <w:sz w:val="21"/>
          <w:szCs w:val="21"/>
          <w:highlight w:val="none"/>
          <w:lang w:val="en-US" w:eastAsia="zh-CN"/>
        </w:rPr>
        <w:t xml:space="preserve">基本完整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基本可行</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方案不太可行的得1分；</w:t>
      </w:r>
      <w:r>
        <w:rPr>
          <w:rFonts w:hint="eastAsia" w:ascii="宋体" w:hAnsi="宋体" w:eastAsia="宋体" w:cs="宋体"/>
          <w:color w:val="auto"/>
          <w:sz w:val="21"/>
          <w:szCs w:val="21"/>
          <w:highlight w:val="none"/>
        </w:rPr>
        <w:t xml:space="preserve">否则不得分。  </w:t>
      </w:r>
      <w:r/>
    </w:p>
    <w:p>
      <w:pPr>
        <w:numPr>
          <w:ilvl w:val="0"/>
          <w:numId w:val="64"/>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走航监测产品技术</w:t>
      </w:r>
      <w:r>
        <w:rPr>
          <w:rFonts w:hint="eastAsia" w:ascii="宋体" w:hAnsi="宋体" w:eastAsia="宋体" w:cs="宋体"/>
          <w:bCs/>
          <w:color w:val="auto"/>
          <w:sz w:val="21"/>
          <w:szCs w:val="21"/>
          <w:highlight w:val="none"/>
          <w:lang w:val="en-US" w:eastAsia="zh-CN"/>
        </w:rPr>
        <w:t xml:space="preserve">响应情况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bookmarkStart w:id="24" w:name="OLE_LINK20"/>
      <w:r>
        <w:rPr>
          <w:rFonts w:hint="eastAsia" w:ascii="宋体" w:hAnsi="宋体" w:eastAsia="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rPr>
        <w:t xml:space="preserve">走航监测产品技术参数全部满足或高于</w:t>
      </w:r>
      <w:r>
        <w:rPr>
          <w:rFonts w:hint="eastAsia" w:ascii="宋体" w:hAnsi="宋体" w:eastAsia="宋体" w:cs="宋体"/>
          <w:color w:val="auto"/>
          <w:sz w:val="21"/>
          <w:szCs w:val="21"/>
          <w:highlight w:val="none"/>
          <w:lang w:val="en-US" w:eastAsia="zh-CN"/>
        </w:rPr>
        <w:t xml:space="preserve">采购文件</w:t>
      </w:r>
      <w:r>
        <w:rPr>
          <w:rFonts w:hint="eastAsia" w:ascii="宋体" w:hAnsi="宋体" w:eastAsia="宋体" w:cs="宋体"/>
          <w:color w:val="auto"/>
          <w:sz w:val="21"/>
          <w:szCs w:val="21"/>
          <w:highlight w:val="none"/>
        </w:rPr>
        <w:t xml:space="preserve">要求的</w:t>
      </w:r>
      <w:r>
        <w:rPr>
          <w:rFonts w:hint="eastAsia" w:ascii="宋体" w:hAnsi="宋体" w:eastAsia="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每有一处</w:t>
      </w:r>
      <w:r>
        <w:rPr>
          <w:rFonts w:hint="eastAsia" w:ascii="宋体" w:hAnsi="宋体" w:eastAsia="宋体" w:cs="宋体"/>
          <w:color w:val="auto"/>
          <w:sz w:val="21"/>
          <w:szCs w:val="21"/>
          <w:highlight w:val="none"/>
          <w:lang w:val="en-US" w:eastAsia="zh-CN"/>
        </w:rPr>
        <w:t xml:space="preserve">负偏离</w:t>
      </w:r>
      <w:r>
        <w:rPr>
          <w:rFonts w:hint="eastAsia" w:ascii="宋体" w:hAnsi="宋体" w:eastAsia="宋体" w:cs="宋体"/>
          <w:color w:val="auto"/>
          <w:sz w:val="21"/>
          <w:szCs w:val="21"/>
          <w:highlight w:val="none"/>
        </w:rPr>
        <w:t xml:space="preserve">扣2分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扣完为止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采购文件中要求提供证明材料</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须按要求提供，否则视为负偏离</w:t>
      </w:r>
      <w:r>
        <w:rPr>
          <w:rFonts w:hint="eastAsia" w:ascii="宋体" w:hAnsi="宋体" w:eastAsia="宋体" w:cs="宋体"/>
          <w:color w:val="auto"/>
          <w:sz w:val="21"/>
          <w:szCs w:val="21"/>
          <w:highlight w:val="none"/>
        </w:rPr>
        <w:t xml:space="preserve">。</w:t>
      </w:r>
      <w:bookmarkEnd w:id="24"/>
      <w:r/>
      <w:r/>
    </w:p>
    <w:p>
      <w:pPr>
        <w:numPr>
          <w:ilvl w:val="0"/>
          <w:numId w:val="62"/>
        </w:numPr>
        <w:ind w:left="567" w:hanging="567"/>
        <w:keepLines w:val="0"/>
        <w:keepNext w:val="0"/>
        <w:pageBreakBefore w:val="0"/>
        <w:spacing w:line="400" w:lineRule="exact"/>
        <w:widowControl w:val="off"/>
        <w:tabs>
          <w:tab w:val="left" w:pos="567"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响应单位综合能力（</w:t>
      </w:r>
      <w:r>
        <w:rPr>
          <w:rFonts w:hint="eastAsia" w:ascii="宋体" w:hAnsi="宋体" w:eastAsia="宋体" w:cs="宋体"/>
          <w:b/>
          <w:color w:val="auto"/>
          <w:sz w:val="21"/>
          <w:szCs w:val="21"/>
          <w:highlight w:val="none"/>
          <w:lang w:val="en-US" w:eastAsia="zh-CN"/>
        </w:rPr>
        <w:t xml:space="preserve">21</w:t>
      </w:r>
      <w:r>
        <w:rPr>
          <w:rFonts w:hint="eastAsia" w:ascii="宋体" w:hAnsi="宋体" w:eastAsia="宋体" w:cs="宋体"/>
          <w:b/>
          <w:color w:val="auto"/>
          <w:sz w:val="21"/>
          <w:szCs w:val="21"/>
          <w:highlight w:val="none"/>
        </w:rPr>
        <w:t xml:space="preserve">分）</w:t>
      </w:r>
      <w:r/>
    </w:p>
    <w:p>
      <w:pPr>
        <w:numPr>
          <w:ilvl w:val="0"/>
          <w:numId w:val="65"/>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运维备件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耗材</w:t>
      </w:r>
      <w:r>
        <w:rPr>
          <w:rFonts w:hint="eastAsia" w:ascii="宋体" w:hAnsi="宋体" w:eastAsia="宋体" w:cs="宋体"/>
          <w:color w:val="auto"/>
          <w:sz w:val="21"/>
          <w:szCs w:val="21"/>
          <w:highlight w:val="none"/>
        </w:rPr>
        <w:t xml:space="preserve">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提供主要仪器详细备件、耗材配置情况，内容齐全、来源规范、配置及价格合理、与原设备匹配程度高得12分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内容较为齐全、来源较规范、配置及价格较为合理、与原设备基本匹配得8分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内容基本齐全、配置及价格基本合理得5分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内容不太合理得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提供相关支撑材料，否则本项不得分。</w:t>
      </w:r>
      <w:r/>
    </w:p>
    <w:p>
      <w:pPr>
        <w:numPr>
          <w:ilvl w:val="0"/>
          <w:numId w:val="65"/>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类似项目</w:t>
      </w:r>
      <w:r>
        <w:rPr>
          <w:rFonts w:hint="eastAsia" w:ascii="宋体" w:hAnsi="宋体" w:eastAsia="宋体" w:cs="宋体"/>
          <w:color w:val="auto"/>
          <w:sz w:val="21"/>
          <w:szCs w:val="21"/>
          <w:highlight w:val="none"/>
        </w:rPr>
        <w:t xml:space="preserve">业绩经验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9分</w:t>
      </w:r>
      <w:r>
        <w:rPr>
          <w:rFonts w:hint="eastAsia" w:ascii="宋体" w:hAnsi="宋体" w:eastAsia="宋体" w:cs="宋体"/>
          <w:color w:val="auto"/>
          <w:sz w:val="21"/>
          <w:szCs w:val="21"/>
          <w:highlight w:val="none"/>
          <w:lang w:eastAsia="zh-CN"/>
        </w:rPr>
        <w:t xml:space="preserve">）</w:t>
      </w:r>
      <w:bookmarkStart w:id="26" w:name="_GoBack"/>
      <w:r/>
      <w:bookmarkEnd w:id="26"/>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响应单位2023年以来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以合同签订时间为准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承担过类似</w:t>
      </w:r>
      <w:r>
        <w:rPr>
          <w:rFonts w:hint="eastAsia" w:ascii="宋体" w:hAnsi="宋体" w:eastAsia="宋体" w:cs="宋体"/>
          <w:color w:val="auto"/>
          <w:sz w:val="21"/>
          <w:szCs w:val="21"/>
          <w:highlight w:val="none"/>
        </w:rPr>
        <w:t xml:space="preserve">大气环境服务业绩的，每个项目得3分，最多得9分。提供项目合同扫描件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否则不得分</w:t>
      </w:r>
      <w:r>
        <w:rPr>
          <w:rFonts w:hint="eastAsia" w:ascii="宋体" w:hAnsi="宋体" w:eastAsia="宋体" w:cs="宋体"/>
          <w:color w:val="auto"/>
          <w:sz w:val="21"/>
          <w:szCs w:val="21"/>
          <w:highlight w:val="none"/>
        </w:rPr>
        <w:t xml:space="preserve">。</w:t>
      </w:r>
      <w:r/>
    </w:p>
    <w:p>
      <w:pPr>
        <w:pStyle w:val="1040"/>
        <w:rPr>
          <w:rFonts w:hint="eastAsia"/>
          <w:color w:val="auto"/>
          <w:highlight w:val="none"/>
          <w:lang w:val="en-US" w:eastAsia="zh-CN"/>
        </w:rPr>
      </w:pPr>
      <w:r>
        <w:rPr>
          <w:rFonts w:hint="eastAsia"/>
          <w:color w:val="auto"/>
          <w:highlight w:val="none"/>
          <w:lang w:val="en-US" w:eastAsia="zh-CN"/>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bookmarkEnd w:id="19"/>
      <w:r/>
      <w:bookmarkEnd w:id="22"/>
      <w:r/>
      <w:bookmarkEnd w:id="23"/>
      <w:r/>
      <w:r/>
    </w:p>
    <w:p>
      <w:pPr>
        <w:spacing w:line="400" w:lineRule="exact"/>
        <w:rPr>
          <w:rFonts w:hint="eastAsia" w:ascii="宋体" w:hAnsi="宋体" w:cs="宋体"/>
          <w:color w:val="auto"/>
          <w:highlight w:val="none"/>
        </w:rPr>
      </w:pPr>
      <w:r>
        <w:rPr>
          <w:rFonts w:hint="eastAsia" w:ascii="宋体" w:hAnsi="宋体" w:cs="宋体"/>
          <w:color w:val="auto"/>
          <w:highlight w:val="none"/>
        </w:rPr>
        <w:t xml:space="preserve">注：针对评分标准中评分的每一条，磋商响应单位均应提供相关资料并作出相应说明供评委评判，不提供相关资料的视为不具备该项得分的条件。</w:t>
      </w:r>
      <w:r/>
    </w:p>
    <w:p>
      <w:pPr>
        <w:jc w:val="center"/>
        <w:spacing w:line="440" w:lineRule="exact"/>
        <w:rPr>
          <w:rFonts w:hint="eastAsia"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四、合同主要条款</w:t>
      </w:r>
      <w:r/>
    </w:p>
    <w:p>
      <w:pPr>
        <w:jc w:val="center"/>
        <w:spacing w:line="4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26"/>
        <w:spacing w:line="400" w:lineRule="exact"/>
        <w:rPr>
          <w:rFonts w:hint="eastAsia" w:ascii="宋体" w:hAnsi="宋体" w:cs="宋体"/>
          <w:color w:val="auto"/>
          <w:highlight w:val="none"/>
        </w:rPr>
      </w:pPr>
      <w:r/>
      <w:bookmarkStart w:id="25" w:name="_Hlk165988889"/>
      <w:r>
        <w:rPr>
          <w:rFonts w:hint="eastAsia" w:ascii="宋体" w:hAnsi="宋体" w:cs="宋体"/>
          <w:color w:val="auto"/>
          <w:highlight w:val="none"/>
        </w:rPr>
        <w:t xml:space="preserve">依据甲方委托</w:t>
      </w:r>
      <w:r>
        <w:rPr>
          <w:rFonts w:hint="eastAsia" w:ascii="宋体" w:hAnsi="宋体" w:cs="宋体"/>
          <w:color w:val="auto"/>
          <w:highlight w:val="none"/>
          <w:u w:val="single"/>
        </w:rPr>
        <w:t xml:space="preserve">苏州市原鑫招投标咨询服务有限公司</w:t>
      </w:r>
      <w:r>
        <w:rPr>
          <w:rFonts w:hint="eastAsia" w:ascii="宋体" w:hAnsi="宋体" w:cs="宋体"/>
          <w:color w:val="auto"/>
          <w:highlight w:val="none"/>
        </w:rPr>
        <w:t xml:space="preserve">进行</w:t>
      </w:r>
      <w:r>
        <w:rPr>
          <w:rFonts w:hint="eastAsia" w:ascii="宋体" w:hAnsi="宋体" w:cs="宋体"/>
          <w:color w:val="auto"/>
          <w:szCs w:val="21"/>
          <w:highlight w:val="none"/>
          <w:u w:val="single"/>
          <w:lang w:eastAsia="zh-CN"/>
        </w:rPr>
        <w:t xml:space="preserve">2026年市控空气自动站运维</w:t>
      </w:r>
      <w:r>
        <w:rPr>
          <w:rFonts w:hint="eastAsia" w:ascii="宋体" w:hAnsi="宋体" w:cs="宋体"/>
          <w:color w:val="auto"/>
          <w:highlight w:val="none"/>
        </w:rPr>
        <w:t xml:space="preserve">项目（采购编号：</w:t>
      </w:r>
      <w:r>
        <w:rPr>
          <w:rFonts w:hint="eastAsia" w:ascii="宋体" w:hAnsi="宋体" w:cs="宋体"/>
          <w:color w:val="auto"/>
          <w:szCs w:val="21"/>
          <w:highlight w:val="none"/>
          <w:u w:val="single"/>
          <w:lang w:eastAsia="zh-CN"/>
        </w:rPr>
        <w:t xml:space="preserve">JSZC-320506-SZYX-C2026-0014</w:t>
      </w:r>
      <w:r>
        <w:rPr>
          <w:rFonts w:hint="eastAsia" w:ascii="宋体" w:hAnsi="宋体" w:cs="宋体"/>
          <w:color w:val="auto"/>
          <w:highlight w:val="none"/>
        </w:rPr>
        <w:t xml:space="preserve">）政府采购的成交结果，</w:t>
      </w:r>
      <w:r>
        <w:rPr>
          <w:rFonts w:hint="eastAsia" w:ascii="宋体" w:hAnsi="宋体" w:cs="宋体"/>
          <w:color w:val="auto"/>
          <w:szCs w:val="21"/>
          <w:highlight w:val="none"/>
        </w:rPr>
        <w:t xml:space="preserve">确定乙方为本次成交供应商，现依照磋商文件、乙方的响应文件及相关文件的内容，签订本合同书</w:t>
      </w:r>
      <w:r>
        <w:rPr>
          <w:rFonts w:hint="eastAsia" w:ascii="宋体" w:hAnsi="宋体" w:cs="宋体"/>
          <w:color w:val="auto"/>
          <w:highlight w:val="none"/>
        </w:rPr>
        <w:t xml:space="preserve">。</w:t>
      </w:r>
      <w:r/>
    </w:p>
    <w:p>
      <w:pPr>
        <w:numPr>
          <w:ilvl w:val="0"/>
          <w:numId w:val="66"/>
        </w:numPr>
        <w:spacing w:line="400" w:lineRule="exact"/>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合同价格</w:t>
      </w:r>
      <w:r/>
    </w:p>
    <w:p>
      <w:pPr>
        <w:numPr>
          <w:ilvl w:val="1"/>
          <w:numId w:val="67"/>
        </w:numPr>
        <w:spacing w:line="400" w:lineRule="exact"/>
        <w:tabs>
          <w:tab w:val="left" w:pos="540" w:leader="none"/>
        </w:tabs>
        <w:rPr>
          <w:rFonts w:ascii="宋体" w:hAnsi="宋体"/>
          <w:color w:val="auto"/>
          <w:szCs w:val="21"/>
          <w:highlight w:val="none"/>
        </w:rPr>
      </w:pPr>
      <w:r>
        <w:rPr>
          <w:rFonts w:hint="eastAsia" w:ascii="宋体" w:hAnsi="宋体" w:cs="仿宋_GB2312"/>
          <w:color w:val="auto"/>
          <w:szCs w:val="21"/>
          <w:highlight w:val="none"/>
        </w:rPr>
        <w:t xml:space="preserve">合同价格（大写）人民币</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元（￥</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）。合同价格</w:t>
      </w:r>
      <w:r>
        <w:rPr>
          <w:rFonts w:hint="eastAsia" w:ascii="宋体" w:hAnsi="宋体" w:eastAsia="宋体" w:cs="宋体"/>
          <w:color w:val="auto"/>
          <w:sz w:val="21"/>
          <w:szCs w:val="21"/>
          <w:highlight w:val="none"/>
        </w:rPr>
        <w:t xml:space="preserve">包含完成本项目服务工作期间所需的人工、材料、仪器设备、车辆交通、备品备件、</w:t>
      </w:r>
      <w:r>
        <w:rPr>
          <w:rFonts w:hint="eastAsia" w:ascii="宋体" w:hAnsi="宋体" w:eastAsia="宋体" w:cs="宋体"/>
          <w:color w:val="auto"/>
          <w:sz w:val="21"/>
          <w:szCs w:val="21"/>
          <w:highlight w:val="none"/>
          <w:lang w:val="en-US" w:eastAsia="zh-CN"/>
        </w:rPr>
        <w:t xml:space="preserve">验收、</w:t>
      </w:r>
      <w:r>
        <w:rPr>
          <w:rFonts w:hint="eastAsia" w:ascii="宋体" w:hAnsi="宋体" w:eastAsia="宋体" w:cs="宋体"/>
          <w:color w:val="auto"/>
          <w:sz w:val="21"/>
          <w:szCs w:val="21"/>
          <w:highlight w:val="none"/>
        </w:rPr>
        <w:t xml:space="preserve">保险、利润、税金、通讯、政策性文件规定及合同包含的所有风险、责任等各项应有费用</w:t>
      </w:r>
      <w:r>
        <w:rPr>
          <w:rFonts w:hint="eastAsia" w:ascii="宋体" w:hAnsi="宋体"/>
          <w:color w:val="auto"/>
          <w:szCs w:val="21"/>
          <w:highlight w:val="none"/>
        </w:rPr>
        <w:t xml:space="preserve">。</w:t>
      </w:r>
      <w:r/>
    </w:p>
    <w:p>
      <w:pPr>
        <w:numPr>
          <w:ilvl w:val="1"/>
          <w:numId w:val="67"/>
        </w:numPr>
        <w:spacing w:line="400" w:lineRule="exact"/>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根据现行税法对甲方征收的与本合同有关的一切税费均由甲方承担；根据现行税法对乙方征收的与本合同有关的一切税费均由乙方承担。</w:t>
      </w:r>
      <w:r/>
    </w:p>
    <w:p>
      <w:pPr>
        <w:numPr>
          <w:ilvl w:val="0"/>
          <w:numId w:val="66"/>
        </w:num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服务范围</w:t>
      </w:r>
      <w:r/>
    </w:p>
    <w:p>
      <w:pPr>
        <w:numPr>
          <w:ilvl w:val="1"/>
          <w:numId w:val="66"/>
        </w:numPr>
        <w:spacing w:line="40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本合同项下的服务指：</w:t>
      </w:r>
      <w:r>
        <w:rPr>
          <w:rFonts w:hint="eastAsia" w:ascii="宋体" w:hAnsi="宋体" w:cs="宋体"/>
          <w:color w:val="auto"/>
          <w:szCs w:val="21"/>
          <w:highlight w:val="none"/>
          <w:u w:val="single"/>
          <w:lang w:eastAsia="zh-CN"/>
        </w:rPr>
        <w:t xml:space="preserve">2026年市控空气自动站运维</w:t>
      </w:r>
      <w:r>
        <w:rPr>
          <w:rFonts w:hint="eastAsia" w:ascii="宋体" w:hAnsi="宋体" w:cs="宋体"/>
          <w:color w:val="auto"/>
          <w:szCs w:val="21"/>
          <w:highlight w:val="none"/>
          <w:u w:val="none"/>
        </w:rPr>
        <w:t xml:space="preserve">。</w:t>
      </w:r>
      <w:r/>
    </w:p>
    <w:p>
      <w:pPr>
        <w:numPr>
          <w:ilvl w:val="1"/>
          <w:numId w:val="66"/>
        </w:numPr>
        <w:spacing w:line="40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服务内容</w:t>
      </w:r>
      <w:r>
        <w:rPr>
          <w:rFonts w:hint="eastAsia" w:ascii="宋体" w:hAnsi="宋体" w:cs="宋体"/>
          <w:color w:val="auto"/>
          <w:szCs w:val="21"/>
          <w:highlight w:val="none"/>
          <w:lang w:val="en-US" w:eastAsia="zh-CN"/>
        </w:rPr>
        <w:t xml:space="preserve">及要求</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详见采购文件</w:t>
      </w:r>
      <w:r>
        <w:rPr>
          <w:rFonts w:hint="eastAsia" w:ascii="宋体" w:hAnsi="宋体" w:cs="宋体"/>
          <w:color w:val="auto"/>
          <w:szCs w:val="21"/>
          <w:highlight w:val="none"/>
        </w:rPr>
        <w:t xml:space="preserve">。</w:t>
      </w:r>
      <w:r/>
    </w:p>
    <w:p>
      <w:pPr>
        <w:numPr>
          <w:ilvl w:val="1"/>
          <w:numId w:val="66"/>
        </w:numPr>
        <w:spacing w:line="40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履约</w:t>
      </w:r>
      <w:r>
        <w:rPr>
          <w:rFonts w:hint="eastAsia" w:ascii="宋体" w:hAnsi="宋体" w:cs="宋体"/>
          <w:color w:val="auto"/>
          <w:szCs w:val="21"/>
          <w:highlight w:val="none"/>
        </w:rPr>
        <w:t xml:space="preserve">期限：</w:t>
      </w:r>
      <w:r>
        <w:rPr>
          <w:rFonts w:hint="eastAsia" w:ascii="宋体" w:hAnsi="宋体" w:cs="宋体"/>
          <w:color w:val="auto"/>
          <w:szCs w:val="21"/>
          <w:highlight w:val="none"/>
          <w:u w:val="single"/>
          <w:lang w:val="en-US" w:eastAsia="zh-CN"/>
        </w:rPr>
        <w:t xml:space="preserve">12个月</w:t>
      </w:r>
      <w:r>
        <w:rPr>
          <w:rFonts w:hint="eastAsia" w:ascii="宋体" w:hAnsi="宋体" w:cs="宋体"/>
          <w:color w:val="auto"/>
          <w:szCs w:val="21"/>
          <w:highlight w:val="none"/>
        </w:rPr>
        <w:t xml:space="preserve">。</w:t>
      </w:r>
      <w:r/>
    </w:p>
    <w:p>
      <w:pPr>
        <w:numPr>
          <w:ilvl w:val="0"/>
          <w:numId w:val="66"/>
        </w:numPr>
        <w:spacing w:line="400" w:lineRule="exact"/>
        <w:rPr>
          <w:rFonts w:ascii="宋体" w:hAnsi="宋体"/>
          <w:b/>
          <w:color w:val="auto"/>
          <w:szCs w:val="21"/>
          <w:highlight w:val="none"/>
        </w:rPr>
      </w:pPr>
      <w:r>
        <w:rPr>
          <w:rFonts w:hint="eastAsia" w:ascii="宋体" w:hAnsi="宋体"/>
          <w:b/>
          <w:color w:val="auto"/>
          <w:szCs w:val="21"/>
          <w:highlight w:val="none"/>
        </w:rPr>
        <w:t xml:space="preserve">甲、乙双方的义务</w:t>
      </w:r>
      <w:r/>
    </w:p>
    <w:p>
      <w:pPr>
        <w:numPr>
          <w:ilvl w:val="1"/>
          <w:numId w:val="66"/>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甲方有义务向乙方及时提供开展工作所必需的政策、法律、法规、行政指导性文件及相关资料。</w:t>
      </w:r>
      <w:r/>
    </w:p>
    <w:p>
      <w:pPr>
        <w:numPr>
          <w:ilvl w:val="1"/>
          <w:numId w:val="66"/>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乙方应当认真执行并按时完成本项目相关服务工作，自觉接受甲方监督，乙方应当坚守工作范围的职责，不得介入甲方的事务性工作。</w:t>
      </w:r>
      <w:r/>
    </w:p>
    <w:p>
      <w:pPr>
        <w:numPr>
          <w:ilvl w:val="1"/>
          <w:numId w:val="66"/>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在项目实施过程中，必须按照采购文件要求及响应文件中的承诺配置本项目专业技术人员。在合同期内，乙方及其工作人员须服从甲方的一切规章制度及安排。未经甲方批准，不得随意更换项目组成员。如果甲方认为技术服务人员不具备本次服务工作所需的技术能力，有权随时要求乙方对该成员进行更换。项目实施人员在服务期间内出现的工伤及其他意外事故，均由乙方自行负责，甲方不承担任何责任。</w:t>
      </w:r>
      <w:r/>
    </w:p>
    <w:p>
      <w:pPr>
        <w:numPr>
          <w:ilvl w:val="0"/>
          <w:numId w:val="66"/>
        </w:numPr>
        <w:spacing w:line="400" w:lineRule="exact"/>
        <w:tabs>
          <w:tab w:val="left" w:pos="540" w:leader="none"/>
        </w:tabs>
        <w:rPr>
          <w:rFonts w:ascii="宋体" w:hAnsi="宋体"/>
          <w:b/>
          <w:bCs/>
          <w:color w:val="auto"/>
          <w:szCs w:val="21"/>
          <w:highlight w:val="none"/>
        </w:rPr>
      </w:pPr>
      <w:r>
        <w:rPr>
          <w:rFonts w:hint="eastAsia" w:ascii="宋体" w:hAnsi="宋体"/>
          <w:b/>
          <w:color w:val="auto"/>
          <w:szCs w:val="21"/>
          <w:highlight w:val="none"/>
        </w:rPr>
        <w:t xml:space="preserve">质量保证</w:t>
      </w:r>
      <w:r/>
    </w:p>
    <w:p>
      <w:pPr>
        <w:numPr>
          <w:ilvl w:val="1"/>
          <w:numId w:val="66"/>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乙方提供服务的均为按国家、行业、采购文件相关标准执行的合格、正规的服务，符合相应的规范要求。</w:t>
      </w:r>
      <w:r/>
    </w:p>
    <w:p>
      <w:pPr>
        <w:numPr>
          <w:ilvl w:val="1"/>
          <w:numId w:val="66"/>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乙方应在项目实施前，详细分析在本次项目实施过程中可能存在的技术风险，并采取必要的风险控制措施。乙方在项目实施工作中对甲方造成的负面影响，其后果都须由乙方承担。</w:t>
      </w:r>
      <w:r/>
    </w:p>
    <w:p>
      <w:pPr>
        <w:numPr>
          <w:ilvl w:val="0"/>
          <w:numId w:val="66"/>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合同价格支付</w:t>
      </w:r>
      <w:r/>
    </w:p>
    <w:p>
      <w:pPr>
        <w:numPr>
          <w:ilvl w:val="1"/>
          <w:numId w:val="66"/>
        </w:numPr>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支付步骤：本</w:t>
      </w:r>
      <w:r>
        <w:rPr>
          <w:rFonts w:hint="eastAsia" w:ascii="宋体" w:hAnsi="宋体" w:cs="宋体"/>
          <w:color w:val="auto"/>
          <w:szCs w:val="21"/>
          <w:highlight w:val="none"/>
        </w:rPr>
        <w:t xml:space="preserve">合同签订后，乙方与涉及乡镇（街道）签订分合同，乙方按要求提供运维服务，甲方[下属各乡镇（街道）]结合服务费用考核情况，自运维服务开始后每半年结算一次，</w:t>
      </w:r>
      <w:r>
        <w:rPr>
          <w:rFonts w:hint="eastAsia" w:ascii="宋体" w:hAnsi="宋体" w:cs="宋体"/>
          <w:color w:val="auto"/>
          <w:szCs w:val="21"/>
          <w:highlight w:val="none"/>
          <w:lang w:val="en-US" w:eastAsia="zh-CN"/>
        </w:rPr>
        <w:t xml:space="preserve">经考核合格，</w:t>
      </w:r>
      <w:r>
        <w:rPr>
          <w:rFonts w:hint="eastAsia" w:ascii="宋体" w:hAnsi="宋体" w:cs="宋体"/>
          <w:color w:val="auto"/>
          <w:szCs w:val="21"/>
          <w:highlight w:val="none"/>
        </w:rPr>
        <w:t xml:space="preserve">结算金额为相应合同金额的5</w:t>
      </w:r>
      <w:r>
        <w:rPr>
          <w:rFonts w:ascii="宋体" w:hAnsi="宋体" w:cs="宋体"/>
          <w:color w:val="auto"/>
          <w:szCs w:val="21"/>
          <w:highlight w:val="none"/>
        </w:rPr>
        <w:t xml:space="preserve">0%</w:t>
      </w:r>
      <w:r>
        <w:rPr>
          <w:rFonts w:hint="eastAsia" w:ascii="宋体" w:hAnsi="宋体" w:cs="宋体"/>
          <w:color w:val="auto"/>
          <w:szCs w:val="21"/>
          <w:highlight w:val="none"/>
        </w:rPr>
        <w:t xml:space="preserve">。</w:t>
      </w:r>
      <w:r/>
    </w:p>
    <w:p>
      <w:pPr>
        <w:numPr>
          <w:ilvl w:val="1"/>
          <w:numId w:val="66"/>
        </w:numPr>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本项目具体运维费用由下属各乡镇（街道）按上述付款方式支付。</w:t>
      </w:r>
      <w:r/>
    </w:p>
    <w:p>
      <w:pPr>
        <w:numPr>
          <w:ilvl w:val="1"/>
          <w:numId w:val="66"/>
        </w:numPr>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考核办法</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每月由</w:t>
      </w:r>
      <w:r>
        <w:rPr>
          <w:rFonts w:hint="eastAsia" w:ascii="宋体" w:hAnsi="宋体" w:eastAsia="宋体" w:cs="宋体"/>
          <w:color w:val="auto"/>
          <w:sz w:val="21"/>
          <w:szCs w:val="21"/>
          <w:highlight w:val="none"/>
          <w:lang w:val="en-US" w:eastAsia="zh-CN"/>
        </w:rPr>
        <w:t xml:space="preserve">甲方根据苏州市生态环境局对市控空气站的季度质控情况，</w:t>
      </w:r>
      <w:r>
        <w:rPr>
          <w:rFonts w:hint="eastAsia" w:ascii="宋体" w:hAnsi="宋体" w:eastAsia="宋体" w:cs="宋体"/>
          <w:color w:val="auto"/>
          <w:sz w:val="21"/>
          <w:szCs w:val="21"/>
          <w:highlight w:val="none"/>
        </w:rPr>
        <w:t xml:space="preserve">组织对</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绩效(职责履行情况)进行考核，填写考核表。考核采取百分制、单站考核的方式进行，主要包括设备运行率、数据有效率(以下简称两率)、运行维护3部分内容，其中两率考核占50%，运行维护考核占50%。</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设备运行率是指考核时段内各监测项目实际获取的小时值监测数据量总和除以应获得小时值数据量总和。</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数据有效率是指考核时段内各监测项目实际获取的质控合格的小时值监测数据量总和除以应获得小时值数据量总和。</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每日各项目应获得小时值数据量均按24个计，考核时段天数按考核时段内日历天数计。计算应获得小时值数据量时，应扣除因不可抗力造成的停止监测的小时数。</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（1）数据有效性</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考核时段内单个站点任一监测项目有效数据量应满足《环境空气质量标准》（GB 3095-</w:t>
      </w:r>
      <w:r>
        <w:rPr>
          <w:rFonts w:hint="eastAsia" w:ascii="宋体" w:hAnsi="宋体" w:cs="宋体"/>
          <w:color w:val="auto"/>
          <w:sz w:val="21"/>
          <w:szCs w:val="21"/>
          <w:highlight w:val="none"/>
          <w:lang w:eastAsia="zh-CN"/>
        </w:rPr>
        <w:t xml:space="preserve">2026</w:t>
      </w:r>
      <w:r>
        <w:rPr>
          <w:rFonts w:hint="eastAsia" w:ascii="宋体" w:hAnsi="宋体" w:eastAsia="宋体" w:cs="宋体"/>
          <w:color w:val="auto"/>
          <w:sz w:val="21"/>
          <w:szCs w:val="21"/>
          <w:highlight w:val="none"/>
        </w:rPr>
        <w:t xml:space="preserve">）中规定的污染物浓度数据有效性的最低要求，否则考核总分为0分。</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（2）两率及运行维护</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符合数据有效性要求后，参照本部分执行。</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当单站设备运行率高于90%(含)时，才能按照以下条款对数据有效率进行考核，否则两率部分</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0分；</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①单站监测数据有效率高于9</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%(含)的，两率得分=50；</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②有效率在90%(含)-9</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%的，两率得分=实际有效率×50；</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③有效率在80%(含)-90%的，两率得分=实际有效率×</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0%×50。</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运行维护部分内容包括日常运维操作、质量保证与控制、档案和管理3部分，其中，日常运维操作和质量保证与控制各占20分，档案和管理占10分，满分50分，采用扣分制，以</w:t>
      </w:r>
      <w:r>
        <w:rPr>
          <w:rFonts w:hint="eastAsia" w:ascii="宋体" w:hAnsi="宋体" w:cs="宋体"/>
          <w:color w:val="auto"/>
          <w:sz w:val="21"/>
          <w:szCs w:val="21"/>
          <w:highlight w:val="none"/>
          <w:lang w:val="en-US" w:eastAsia="zh-CN"/>
        </w:rPr>
        <w:t xml:space="preserve">苏州市生态环境局</w:t>
      </w:r>
      <w:r>
        <w:rPr>
          <w:rFonts w:hint="eastAsia" w:ascii="宋体" w:hAnsi="宋体" w:eastAsia="宋体" w:cs="宋体"/>
          <w:color w:val="auto"/>
          <w:sz w:val="21"/>
          <w:szCs w:val="21"/>
          <w:highlight w:val="none"/>
        </w:rPr>
        <w:t xml:space="preserve">质控得分为依据，如单次质控涵盖多月的，则每月考核均以此次质控分数考核。</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①单站月度质控得分高于90分(含)的，得分=50；</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②单站月度质控得分高于80-90分(含)的，得分=质控得分×50÷100；</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③单站月度质控得分低于80分(含)的，得分=质控得分×</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0%×50÷100；</w:t>
      </w:r>
      <w:r/>
    </w:p>
    <w:p>
      <w:pPr>
        <w:numPr>
          <w:ilvl w:val="1"/>
          <w:numId w:val="66"/>
        </w:numPr>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运维费用结算方式</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以两率得分和质控得分和为总得分，最终运维结算为月度运维费用×总得分÷100。</w:t>
      </w:r>
      <w:r/>
    </w:p>
    <w:p>
      <w:pPr>
        <w:numPr>
          <w:ilvl w:val="1"/>
          <w:numId w:val="66"/>
        </w:numPr>
        <w:spacing w:line="400" w:lineRule="exact"/>
        <w:tabs>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乙方</w:t>
      </w:r>
      <w:r>
        <w:rPr>
          <w:rFonts w:hint="eastAsia" w:ascii="宋体" w:hAnsi="宋体" w:cs="仿宋_GB2312"/>
          <w:color w:val="auto"/>
          <w:szCs w:val="21"/>
          <w:highlight w:val="none"/>
        </w:rPr>
        <w:t xml:space="preserve">要求付款应提供以下资料：</w:t>
      </w:r>
      <w:r/>
    </w:p>
    <w:p>
      <w:pPr>
        <w:numPr>
          <w:ilvl w:val="3"/>
          <w:numId w:val="68"/>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合格的</w:t>
      </w:r>
      <w:r>
        <w:rPr>
          <w:rFonts w:ascii="宋体" w:hAnsi="宋体"/>
          <w:color w:val="auto"/>
          <w:szCs w:val="21"/>
          <w:highlight w:val="none"/>
        </w:rPr>
        <w:t xml:space="preserve">发票</w:t>
      </w:r>
      <w:r>
        <w:rPr>
          <w:rFonts w:hint="eastAsia" w:ascii="宋体" w:hAnsi="宋体" w:cs="仿宋_GB2312"/>
          <w:color w:val="auto"/>
          <w:szCs w:val="21"/>
          <w:highlight w:val="none"/>
        </w:rPr>
        <w:t xml:space="preserve">。</w:t>
      </w:r>
      <w:r/>
    </w:p>
    <w:p>
      <w:pPr>
        <w:numPr>
          <w:ilvl w:val="3"/>
          <w:numId w:val="68"/>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履行验收报告（最后一次付款提供）。</w:t>
      </w:r>
      <w:r/>
    </w:p>
    <w:p>
      <w:pPr>
        <w:numPr>
          <w:ilvl w:val="1"/>
          <w:numId w:val="66"/>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支付</w:t>
      </w:r>
      <w:r>
        <w:rPr>
          <w:rFonts w:hint="eastAsia" w:ascii="宋体" w:hAnsi="宋体"/>
          <w:color w:val="auto"/>
          <w:szCs w:val="21"/>
          <w:highlight w:val="none"/>
        </w:rPr>
        <w:t xml:space="preserve">方式</w:t>
      </w:r>
      <w:r>
        <w:rPr>
          <w:rFonts w:hint="eastAsia" w:ascii="宋体" w:hAnsi="宋体" w:cs="仿宋_GB2312"/>
          <w:color w:val="auto"/>
          <w:szCs w:val="21"/>
          <w:highlight w:val="none"/>
        </w:rPr>
        <w:t xml:space="preserve">：1）银行转账；2）数字人民币支付。</w:t>
      </w:r>
      <w:r/>
    </w:p>
    <w:p>
      <w:pPr>
        <w:numPr>
          <w:ilvl w:val="1"/>
          <w:numId w:val="66"/>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乙方账户信息：</w:t>
      </w:r>
      <w:r/>
    </w:p>
    <w:p>
      <w:pPr>
        <w:numPr>
          <w:ilvl w:val="255"/>
          <w:numId w:val="0"/>
        </w:num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户名：</w:t>
      </w:r>
      <w:r/>
    </w:p>
    <w:p>
      <w:pPr>
        <w:numPr>
          <w:ilvl w:val="255"/>
          <w:numId w:val="0"/>
        </w:num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收款账号：</w:t>
      </w:r>
      <w:r/>
    </w:p>
    <w:p>
      <w:pPr>
        <w:numPr>
          <w:ilvl w:val="255"/>
          <w:numId w:val="0"/>
        </w:num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开户行：</w:t>
      </w:r>
      <w:r/>
    </w:p>
    <w:p>
      <w:p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数字钱包ID：</w:t>
      </w:r>
      <w:r/>
    </w:p>
    <w:p>
      <w:pPr>
        <w:numPr>
          <w:ilvl w:val="1"/>
          <w:numId w:val="66"/>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若由于乙方未能及时开具符合甲方要求的发票、提供的账户有误等可归结于乙方的原因，导致甲方逾期付款的，甲方不承担任何逾期付款的责任，并且甲方有权拒绝支付相应款项。</w:t>
      </w:r>
      <w:r/>
    </w:p>
    <w:p>
      <w:pPr>
        <w:numPr>
          <w:ilvl w:val="0"/>
          <w:numId w:val="66"/>
        </w:numPr>
        <w:spacing w:line="400" w:lineRule="exact"/>
        <w:tabs>
          <w:tab w:val="left" w:pos="540" w:leader="none"/>
        </w:tabs>
        <w:rPr>
          <w:rFonts w:hint="eastAsia" w:cs="仿宋_GB2312" w:asciiTheme="minorEastAsia" w:hAnsiTheme="minorEastAsia" w:eastAsiaTheme="minorEastAsia"/>
          <w:b/>
          <w:color w:val="auto"/>
          <w:szCs w:val="21"/>
          <w:highlight w:val="none"/>
        </w:rPr>
      </w:pPr>
      <w:r>
        <w:rPr>
          <w:rFonts w:hint="eastAsia" w:cs="仿宋_GB2312" w:asciiTheme="minorEastAsia" w:hAnsiTheme="minorEastAsia" w:eastAsiaTheme="minorEastAsia"/>
          <w:b/>
          <w:color w:val="auto"/>
          <w:szCs w:val="21"/>
          <w:highlight w:val="none"/>
        </w:rPr>
        <w:t xml:space="preserve">保密要求</w:t>
      </w:r>
      <w:r/>
    </w:p>
    <w:p>
      <w:pPr>
        <w:numPr>
          <w:ilvl w:val="1"/>
          <w:numId w:val="66"/>
        </w:numPr>
        <w:spacing w:line="400" w:lineRule="exact"/>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乙方</w:t>
      </w:r>
      <w:r>
        <w:rPr>
          <w:rFonts w:hint="eastAsia" w:asciiTheme="minorEastAsia" w:hAnsiTheme="minorEastAsia" w:eastAsiaTheme="minorEastAsia"/>
          <w:bCs/>
          <w:color w:val="auto"/>
          <w:szCs w:val="21"/>
          <w:highlight w:val="none"/>
        </w:rPr>
        <w:t xml:space="preserve">及其工作人员应当对项目实施过程中接触的所有</w:t>
      </w:r>
      <w:r>
        <w:rPr>
          <w:rFonts w:hint="eastAsia" w:asciiTheme="minorEastAsia" w:hAnsiTheme="minorEastAsia" w:eastAsiaTheme="minorEastAsia"/>
          <w:bCs/>
          <w:color w:val="auto"/>
          <w:szCs w:val="21"/>
          <w:highlight w:val="none"/>
          <w:lang w:val="en-US" w:eastAsia="zh-CN"/>
        </w:rPr>
        <w:t xml:space="preserve">工作</w:t>
      </w:r>
      <w:r>
        <w:rPr>
          <w:rFonts w:hint="eastAsia" w:asciiTheme="minorEastAsia" w:hAnsiTheme="minorEastAsia" w:eastAsiaTheme="minorEastAsia"/>
          <w:bCs/>
          <w:color w:val="auto"/>
          <w:szCs w:val="21"/>
          <w:highlight w:val="none"/>
        </w:rPr>
        <w:t xml:space="preserve">资料</w:t>
      </w:r>
      <w:r>
        <w:rPr>
          <w:rFonts w:hint="eastAsia" w:asciiTheme="minorEastAsia" w:hAnsiTheme="minorEastAsia" w:eastAsiaTheme="minorEastAsia"/>
          <w:bCs/>
          <w:color w:val="auto"/>
          <w:szCs w:val="21"/>
          <w:highlight w:val="none"/>
          <w:lang w:val="en-US" w:eastAsia="zh-CN"/>
        </w:rPr>
        <w:t xml:space="preserve">予以</w:t>
      </w:r>
      <w:r>
        <w:rPr>
          <w:rFonts w:hint="eastAsia" w:asciiTheme="minorEastAsia" w:hAnsiTheme="minorEastAsia" w:eastAsiaTheme="minorEastAsia"/>
          <w:bCs/>
          <w:color w:val="auto"/>
          <w:szCs w:val="21"/>
          <w:highlight w:val="none"/>
        </w:rPr>
        <w:t xml:space="preserve">保密，未经甲方书面同意，乙方不得向甲方指定人员以外的其他单位和人员泄露上述资料或用于本合同以外的其他目的。</w:t>
      </w:r>
      <w:r/>
    </w:p>
    <w:p>
      <w:pPr>
        <w:numPr>
          <w:ilvl w:val="1"/>
          <w:numId w:val="66"/>
        </w:numPr>
        <w:spacing w:line="400" w:lineRule="exact"/>
        <w:tabs>
          <w:tab w:val="left" w:pos="567" w:leader="none"/>
        </w:tabs>
        <w:rPr>
          <w:rFonts w:hint="eastAsia" w:asciiTheme="minorEastAsia" w:hAnsiTheme="minorEastAsia" w:eastAsiaTheme="minorEastAsia"/>
          <w:bCs/>
          <w:color w:val="auto"/>
          <w:szCs w:val="21"/>
          <w:highlight w:val="none"/>
        </w:rPr>
      </w:pPr>
      <w:r>
        <w:rPr>
          <w:rFonts w:hint="eastAsia" w:cs="仿宋_GB2312" w:asciiTheme="minorEastAsia" w:hAnsiTheme="minorEastAsia" w:eastAsiaTheme="minorEastAsia"/>
          <w:color w:val="auto"/>
          <w:szCs w:val="21"/>
          <w:highlight w:val="none"/>
        </w:rPr>
        <w:t xml:space="preserve">保密义务至甲方将相关文件、信息、资料以及所涉成果正式向社会公开之日或甲方书面解除乙方的保密义务之日起终止。保密义务的规定在本合同终止后仍然继续有效，且不受本合同解除、终止或无效的影响。</w:t>
      </w:r>
      <w:r/>
    </w:p>
    <w:p>
      <w:pPr>
        <w:numPr>
          <w:ilvl w:val="1"/>
          <w:numId w:val="66"/>
        </w:numPr>
        <w:spacing w:line="400" w:lineRule="exact"/>
        <w:tabs>
          <w:tab w:val="left" w:pos="56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乙方及其</w:t>
      </w:r>
      <w:r>
        <w:rPr>
          <w:rFonts w:hint="eastAsia" w:cs="仿宋_GB2312" w:asciiTheme="minorEastAsia" w:hAnsiTheme="minorEastAsia" w:eastAsiaTheme="minorEastAsia"/>
          <w:color w:val="auto"/>
          <w:szCs w:val="21"/>
          <w:highlight w:val="none"/>
        </w:rPr>
        <w:t xml:space="preserve">工作人员违反保密规定或者法律及本合同规定的其他禁止性规定，所引起的一切后果及法律责任由乙方承担，且应承担合同总价款30%的违约金并赔偿甲方全部损失。</w:t>
      </w:r>
      <w:r/>
    </w:p>
    <w:p>
      <w:pPr>
        <w:numPr>
          <w:ilvl w:val="0"/>
          <w:numId w:val="66"/>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违约责任及违约金支付</w:t>
      </w:r>
      <w:r/>
    </w:p>
    <w:p>
      <w:pPr>
        <w:numPr>
          <w:ilvl w:val="1"/>
          <w:numId w:val="66"/>
        </w:numPr>
        <w:spacing w:line="400" w:lineRule="exact"/>
        <w:tabs>
          <w:tab w:val="left" w:pos="567" w:leader="none"/>
        </w:tabs>
        <w:rPr>
          <w:rFonts w:hint="eastAsia" w:cs="Times New Roman" w:asciiTheme="minorEastAsia" w:hAnsiTheme="minorEastAsia" w:eastAsiaTheme="minorEastAsia"/>
          <w:bCs/>
          <w:color w:val="auto"/>
          <w:szCs w:val="21"/>
          <w:highlight w:val="none"/>
        </w:rPr>
      </w:pPr>
      <w:r>
        <w:rPr>
          <w:rFonts w:hint="eastAsia" w:cs="Times New Roman" w:asciiTheme="minorEastAsia" w:hAnsiTheme="minorEastAsia" w:eastAsiaTheme="minorEastAsia"/>
          <w:bCs/>
          <w:color w:val="auto"/>
          <w:szCs w:val="21"/>
          <w:highlight w:val="none"/>
        </w:rPr>
        <w:t xml:space="preserve">乙方不能提供服务或服务未达到本项目采购要求或交付成果不符合甲方要求从而影响甲方按期正常使用的，应向甲方偿付合同总价款5%的违约金，违约金不足以补偿损失的甲方有权要求乙方补足。</w:t>
      </w:r>
      <w:r/>
    </w:p>
    <w:p>
      <w:pPr>
        <w:numPr>
          <w:ilvl w:val="1"/>
          <w:numId w:val="66"/>
        </w:numPr>
        <w:spacing w:line="400" w:lineRule="exact"/>
        <w:tabs>
          <w:tab w:val="left" w:pos="567" w:leader="none"/>
        </w:tabs>
        <w:rPr>
          <w:rFonts w:hint="eastAsia" w:cs="Times New Roman" w:asciiTheme="minorEastAsia" w:hAnsiTheme="minorEastAsia" w:eastAsiaTheme="minorEastAsia"/>
          <w:bCs/>
          <w:color w:val="auto"/>
          <w:szCs w:val="21"/>
          <w:highlight w:val="none"/>
        </w:rPr>
      </w:pPr>
      <w:r>
        <w:rPr>
          <w:rFonts w:hint="eastAsia" w:cs="Times New Roman" w:asciiTheme="minorEastAsia" w:hAnsiTheme="minorEastAsia" w:eastAsiaTheme="minorEastAsia"/>
          <w:bCs/>
          <w:color w:val="auto"/>
          <w:szCs w:val="21"/>
          <w:highlight w:val="none"/>
        </w:rPr>
        <w:t xml:space="preserve">乙方逾期提供服务的，甲方仍需求的，乙方应立即提供护服务按照逾期服务的每天万分之四支付逾期违约金，同时承担甲方因此遭致的损失费用。</w:t>
      </w:r>
      <w:r/>
    </w:p>
    <w:p>
      <w:pPr>
        <w:numPr>
          <w:ilvl w:val="1"/>
          <w:numId w:val="66"/>
        </w:numPr>
        <w:spacing w:line="400" w:lineRule="exact"/>
        <w:tabs>
          <w:tab w:val="left" w:pos="567" w:leader="none"/>
        </w:tabs>
        <w:rPr>
          <w:rFonts w:hint="eastAsia" w:cs="Times New Roman" w:asciiTheme="minorEastAsia" w:hAnsiTheme="minorEastAsia" w:eastAsiaTheme="minorEastAsia"/>
          <w:bCs/>
          <w:color w:val="auto"/>
          <w:szCs w:val="21"/>
          <w:highlight w:val="none"/>
        </w:rPr>
      </w:pPr>
      <w:r>
        <w:rPr>
          <w:rFonts w:hint="eastAsia" w:cs="Times New Roman" w:asciiTheme="minorEastAsia" w:hAnsiTheme="minorEastAsia" w:eastAsiaTheme="minorEastAsia"/>
          <w:bCs/>
          <w:color w:val="auto"/>
          <w:szCs w:val="21"/>
          <w:highlight w:val="none"/>
        </w:rPr>
        <w:t xml:space="preserve">乙方在服务过程中有存在廉政问题、编造数据、弄虚作假或其他影响客观性、公正性行为的，甲方有权拒绝支付剩余合同价款、终止合同并提请有关部门追究行政或法律责任。给甲方造成损失的，还应赔偿甲方一切损失。</w:t>
      </w:r>
      <w:r/>
    </w:p>
    <w:p>
      <w:pPr>
        <w:numPr>
          <w:ilvl w:val="1"/>
          <w:numId w:val="66"/>
        </w:numPr>
        <w:spacing w:line="400" w:lineRule="exact"/>
        <w:tabs>
          <w:tab w:val="left" w:pos="567" w:leader="none"/>
        </w:tabs>
        <w:rPr>
          <w:rFonts w:hint="eastAsia" w:cs="Times New Roman" w:asciiTheme="minorEastAsia" w:hAnsiTheme="minorEastAsia" w:eastAsiaTheme="minorEastAsia"/>
          <w:bCs/>
          <w:color w:val="auto"/>
          <w:szCs w:val="21"/>
          <w:highlight w:val="none"/>
        </w:rPr>
      </w:pPr>
      <w:r>
        <w:rPr>
          <w:rFonts w:hint="eastAsia" w:cs="Times New Roman" w:asciiTheme="minorEastAsia" w:hAnsiTheme="minorEastAsia" w:eastAsiaTheme="minorEastAsia"/>
          <w:bCs/>
          <w:color w:val="auto"/>
          <w:szCs w:val="21"/>
          <w:highlight w:val="none"/>
        </w:rPr>
        <w:t xml:space="preserve">乙方向任何第三方泄露双方商定的保密项（包括但不限于本项目产出的评估报告、服务过程中获取的相关第三方信息等）的，乙方应向甲方偿付合同总价款10%的违约金，违约金不足以补偿损失的，甲方有权要求乙方补足，同时甲方有权解除合同。</w:t>
      </w:r>
      <w:r/>
    </w:p>
    <w:p>
      <w:pPr>
        <w:numPr>
          <w:ilvl w:val="1"/>
          <w:numId w:val="66"/>
        </w:numPr>
        <w:spacing w:line="400" w:lineRule="exact"/>
        <w:tabs>
          <w:tab w:val="left" w:pos="567" w:leader="none"/>
        </w:tabs>
        <w:rPr>
          <w:rFonts w:hint="eastAsia" w:cs="Times New Roman" w:asciiTheme="minorEastAsia" w:hAnsiTheme="minorEastAsia" w:eastAsiaTheme="minorEastAsia"/>
          <w:bCs/>
          <w:color w:val="auto"/>
          <w:szCs w:val="21"/>
          <w:highlight w:val="none"/>
        </w:rPr>
      </w:pPr>
      <w:r>
        <w:rPr>
          <w:rFonts w:hint="eastAsia" w:cs="Times New Roman" w:asciiTheme="minorEastAsia" w:hAnsiTheme="minorEastAsia" w:eastAsiaTheme="minorEastAsia"/>
          <w:bCs/>
          <w:color w:val="auto"/>
          <w:szCs w:val="21"/>
          <w:highlight w:val="none"/>
        </w:rPr>
        <w:t xml:space="preserve">乙方经甲方考核不合格将扣除相应服务款项并且在甲方规定的时间内进行整改到位，整改未达甲方要求的，甲方有权单方面解除合同并由乙方承担由此对甲方造成的损失。</w:t>
      </w:r>
      <w:r/>
    </w:p>
    <w:p>
      <w:pPr>
        <w:numPr>
          <w:ilvl w:val="0"/>
          <w:numId w:val="66"/>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不可抗力</w:t>
      </w:r>
      <w:r/>
    </w:p>
    <w:p>
      <w:pPr>
        <w:numPr>
          <w:ilvl w:val="1"/>
          <w:numId w:val="66"/>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因不</w:t>
      </w:r>
      <w:r>
        <w:rPr>
          <w:rFonts w:hint="eastAsia" w:ascii="宋体" w:hAnsi="宋体" w:cs="仿宋_GB2312"/>
          <w:color w:val="auto"/>
          <w:szCs w:val="21"/>
          <w:highlight w:val="none"/>
        </w:rPr>
        <w:t xml:space="preserve">可抗力不能履行合同的，根据不可抗力的影响，部分或者全部免除责任。但合同一方延迟履行后发生不可抗力的，不能免除责任。</w:t>
      </w:r>
      <w:r/>
    </w:p>
    <w:p>
      <w:pPr>
        <w:numPr>
          <w:ilvl w:val="1"/>
          <w:numId w:val="66"/>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合同</w:t>
      </w:r>
      <w:r>
        <w:rPr>
          <w:rFonts w:hint="eastAsia" w:ascii="宋体" w:hAnsi="宋体" w:cs="仿宋_GB2312"/>
          <w:color w:val="auto"/>
          <w:szCs w:val="21"/>
          <w:highlight w:val="none"/>
        </w:rPr>
        <w:t xml:space="preserve">一方因不可抗力不能履行合同的，应当及时通知对方，以减轻可能给对方造成的损失，并应当在合理期限内</w:t>
      </w:r>
      <w:r>
        <w:rPr>
          <w:rFonts w:hint="eastAsia" w:ascii="宋体" w:hAnsi="宋体"/>
          <w:color w:val="auto"/>
          <w:szCs w:val="21"/>
          <w:highlight w:val="none"/>
        </w:rPr>
        <w:t xml:space="preserve">提供证明。</w:t>
      </w:r>
      <w:r/>
    </w:p>
    <w:p>
      <w:pPr>
        <w:numPr>
          <w:ilvl w:val="0"/>
          <w:numId w:val="66"/>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合同修改</w:t>
      </w:r>
      <w:r/>
    </w:p>
    <w:p>
      <w:pPr>
        <w:numPr>
          <w:ilvl w:val="1"/>
          <w:numId w:val="66"/>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甲方</w:t>
      </w:r>
      <w:r>
        <w:rPr>
          <w:rFonts w:hint="eastAsia" w:ascii="宋体" w:hAnsi="宋体" w:cs="仿宋_GB2312"/>
          <w:color w:val="auto"/>
          <w:szCs w:val="21"/>
          <w:highlight w:val="none"/>
        </w:rPr>
        <w:t xml:space="preserve">和乙方都不得擅自变更本合同，但合同继续履行将损害国家和社会公共利益的除外。</w:t>
      </w:r>
      <w:r/>
    </w:p>
    <w:p>
      <w:pPr>
        <w:numPr>
          <w:ilvl w:val="0"/>
          <w:numId w:val="66"/>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转让和分包</w:t>
      </w:r>
      <w:r/>
    </w:p>
    <w:p>
      <w:pPr>
        <w:numPr>
          <w:ilvl w:val="1"/>
          <w:numId w:val="66"/>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政府</w:t>
      </w:r>
      <w:r>
        <w:rPr>
          <w:rFonts w:hint="eastAsia" w:ascii="宋体" w:hAnsi="宋体" w:cs="仿宋_GB2312"/>
          <w:color w:val="auto"/>
          <w:szCs w:val="21"/>
          <w:highlight w:val="none"/>
        </w:rPr>
        <w:t xml:space="preserve">采购合同的部分和全部都不得转让、分包。</w:t>
      </w:r>
      <w:r/>
    </w:p>
    <w:p>
      <w:pPr>
        <w:numPr>
          <w:ilvl w:val="0"/>
          <w:numId w:val="66"/>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合同的解除</w:t>
      </w:r>
      <w:r/>
    </w:p>
    <w:p>
      <w:pPr>
        <w:numPr>
          <w:ilvl w:val="1"/>
          <w:numId w:val="66"/>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有</w:t>
      </w:r>
      <w:r>
        <w:rPr>
          <w:rFonts w:hint="eastAsia" w:ascii="宋体" w:hAnsi="宋体"/>
          <w:color w:val="auto"/>
          <w:szCs w:val="21"/>
          <w:highlight w:val="none"/>
        </w:rPr>
        <w:t xml:space="preserve">下列</w:t>
      </w:r>
      <w:r>
        <w:rPr>
          <w:rFonts w:hint="eastAsia" w:ascii="宋体" w:hAnsi="宋体" w:cs="仿宋_GB2312"/>
          <w:color w:val="auto"/>
          <w:szCs w:val="21"/>
          <w:highlight w:val="none"/>
        </w:rPr>
        <w:t xml:space="preserve">情形之一，合同一方可以解除合同：</w:t>
      </w:r>
      <w:r/>
    </w:p>
    <w:p>
      <w:pPr>
        <w:numPr>
          <w:ilvl w:val="0"/>
          <w:numId w:val="69"/>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因不可抗力致使不能实现合同目的，双方均有权解除合同；</w:t>
      </w:r>
      <w:r/>
    </w:p>
    <w:p>
      <w:pPr>
        <w:numPr>
          <w:ilvl w:val="0"/>
          <w:numId w:val="69"/>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因合同一方违约导致合同不能履行，另一方有权解除合同。</w:t>
      </w:r>
      <w:r/>
    </w:p>
    <w:p>
      <w:pPr>
        <w:numPr>
          <w:ilvl w:val="1"/>
          <w:numId w:val="66"/>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有权解除合同的一方，应当在违约事实或不可抗力发生之后三十天内书面通知对方以主张解除合同，合同在书面通知到达对方时解除。</w:t>
      </w:r>
      <w:r/>
    </w:p>
    <w:p>
      <w:pPr>
        <w:numPr>
          <w:ilvl w:val="0"/>
          <w:numId w:val="66"/>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争议解决办法</w:t>
      </w:r>
      <w:r/>
    </w:p>
    <w:p>
      <w:pPr>
        <w:ind w:firstLine="539"/>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因本合同或与本合同有关的一切事项发生争议，由双方友好协商解决。协商不成的，任何一方均可选择以下方式解决：</w:t>
      </w:r>
      <w:r/>
    </w:p>
    <w:p>
      <w:pPr>
        <w:ind w:firstLine="539"/>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向甲方所在地的人民法院起诉。</w:t>
      </w:r>
      <w:r/>
    </w:p>
    <w:p>
      <w:pPr>
        <w:numPr>
          <w:ilvl w:val="0"/>
          <w:numId w:val="66"/>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合同生效及其他</w:t>
      </w:r>
      <w:r/>
    </w:p>
    <w:p>
      <w:pPr>
        <w:numPr>
          <w:ilvl w:val="1"/>
          <w:numId w:val="66"/>
        </w:numPr>
        <w:spacing w:line="400" w:lineRule="exact"/>
        <w:tabs>
          <w:tab w:val="left" w:pos="540" w:leader="none"/>
          <w:tab w:val="left" w:pos="567" w:leader="none"/>
        </w:tabs>
        <w:rPr>
          <w:rFonts w:hint="eastAsia" w:ascii="宋体" w:hAnsi="宋体"/>
          <w:color w:val="auto"/>
          <w:szCs w:val="21"/>
          <w:highlight w:val="none"/>
        </w:rPr>
      </w:pPr>
      <w:r>
        <w:rPr>
          <w:rFonts w:hint="eastAsia" w:ascii="宋体" w:hAnsi="宋体" w:cs="仿宋_GB2312"/>
          <w:color w:val="auto"/>
          <w:szCs w:val="21"/>
          <w:highlight w:val="none"/>
        </w:rPr>
        <w:t xml:space="preserve">本</w:t>
      </w:r>
      <w:r>
        <w:rPr>
          <w:rFonts w:hint="eastAsia" w:ascii="宋体" w:hAnsi="宋体"/>
          <w:color w:val="auto"/>
          <w:szCs w:val="21"/>
          <w:highlight w:val="none"/>
        </w:rPr>
        <w:t xml:space="preserve">合同</w:t>
      </w:r>
      <w:r>
        <w:rPr>
          <w:rFonts w:hint="eastAsia" w:ascii="宋体" w:hAnsi="宋体" w:cs="仿宋_GB2312"/>
          <w:color w:val="auto"/>
          <w:szCs w:val="21"/>
          <w:highlight w:val="none"/>
        </w:rPr>
        <w:t xml:space="preserve">经双方签字并盖章后生效，同时合同将进行公示。</w:t>
      </w:r>
      <w:r/>
    </w:p>
    <w:p>
      <w:pPr>
        <w:numPr>
          <w:ilvl w:val="1"/>
          <w:numId w:val="66"/>
        </w:numPr>
        <w:spacing w:line="400" w:lineRule="exact"/>
        <w:tabs>
          <w:tab w:val="left" w:pos="540" w:leader="none"/>
          <w:tab w:val="left" w:pos="567" w:leader="none"/>
        </w:tabs>
        <w:rPr>
          <w:rFonts w:hint="eastAsia" w:ascii="宋体" w:hAnsi="宋体"/>
          <w:color w:val="auto"/>
          <w:szCs w:val="21"/>
          <w:highlight w:val="none"/>
        </w:rPr>
      </w:pPr>
      <w:r>
        <w:rPr>
          <w:rFonts w:hint="eastAsia" w:ascii="宋体" w:hAnsi="宋体" w:cs="仿宋_GB2312"/>
          <w:color w:val="auto"/>
          <w:szCs w:val="21"/>
          <w:highlight w:val="none"/>
        </w:rPr>
        <w:t xml:space="preserve">下列文件为本合同不可分割部分</w:t>
      </w:r>
      <w:r>
        <w:rPr>
          <w:rFonts w:hint="eastAsia" w:ascii="宋体" w:hAnsi="宋体"/>
          <w:color w:val="auto"/>
          <w:szCs w:val="21"/>
          <w:highlight w:val="none"/>
        </w:rPr>
        <w:t xml:space="preserve">：</w:t>
      </w:r>
      <w:r/>
    </w:p>
    <w:p>
      <w:pPr>
        <w:ind w:left="540" w:right="-153"/>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成交通知书；乙方响应文件；磋商文件；乙方在磋商过程</w:t>
      </w:r>
      <w:r>
        <w:rPr>
          <w:rFonts w:hint="eastAsia" w:ascii="宋体" w:hAnsi="宋体"/>
          <w:color w:val="auto"/>
          <w:szCs w:val="21"/>
          <w:highlight w:val="none"/>
        </w:rPr>
        <w:t xml:space="preserve">中所作的其他承诺、声明、书面澄清等。</w:t>
      </w:r>
      <w:r/>
    </w:p>
    <w:p>
      <w:pPr>
        <w:numPr>
          <w:ilvl w:val="0"/>
          <w:numId w:val="66"/>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未尽事宜</w:t>
      </w:r>
      <w:r/>
    </w:p>
    <w:p>
      <w:pPr>
        <w:ind w:firstLine="420"/>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未尽事宜应按照《中华人民共和国民法典》、《中华人民共和国政府采购法》等相关法律法规之规定解释。</w:t>
      </w:r>
      <w:r/>
    </w:p>
    <w:p>
      <w:pPr>
        <w:numPr>
          <w:ilvl w:val="0"/>
          <w:numId w:val="66"/>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附则</w:t>
      </w:r>
      <w:r/>
    </w:p>
    <w:p>
      <w:pPr>
        <w:ind w:firstLine="539"/>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本合同一式</w:t>
      </w:r>
      <w:r>
        <w:rPr>
          <w:rFonts w:hint="eastAsia" w:ascii="宋体" w:hAnsi="宋体" w:cs="仿宋_GB2312"/>
          <w:color w:val="auto"/>
          <w:szCs w:val="21"/>
          <w:highlight w:val="none"/>
          <w:u w:val="single"/>
        </w:rPr>
        <w:t xml:space="preserve"> 五 </w:t>
      </w:r>
      <w:r>
        <w:rPr>
          <w:rFonts w:hint="eastAsia" w:ascii="宋体" w:hAnsi="宋体" w:cs="仿宋_GB2312"/>
          <w:color w:val="auto"/>
          <w:szCs w:val="21"/>
          <w:highlight w:val="none"/>
        </w:rPr>
        <w:t xml:space="preserve">份，甲、乙方各执</w:t>
      </w:r>
      <w:r>
        <w:rPr>
          <w:rFonts w:hint="eastAsia" w:ascii="宋体" w:hAnsi="宋体" w:cs="仿宋_GB2312"/>
          <w:color w:val="auto"/>
          <w:szCs w:val="21"/>
          <w:highlight w:val="none"/>
          <w:u w:val="single"/>
        </w:rPr>
        <w:t xml:space="preserve"> 两 </w:t>
      </w:r>
      <w:r>
        <w:rPr>
          <w:rFonts w:hint="eastAsia" w:ascii="宋体" w:hAnsi="宋体" w:cs="仿宋_GB2312"/>
          <w:color w:val="auto"/>
          <w:szCs w:val="21"/>
          <w:highlight w:val="none"/>
        </w:rPr>
        <w:t xml:space="preserve">份，采购代理机构一份。</w:t>
      </w:r>
      <w:bookmarkEnd w:id="25"/>
      <w:r/>
      <w:r/>
    </w:p>
    <w:p>
      <w:pPr>
        <w:jc w:val="center"/>
        <w:spacing w:line="360" w:lineRule="auto"/>
        <w:rPr>
          <w:rFonts w:ascii="宋体" w:hAnsi="宋体"/>
          <w:b/>
          <w:color w:val="auto"/>
          <w:sz w:val="32"/>
          <w:highlight w:val="none"/>
        </w:rPr>
        <w:outlineLvl w:val="0"/>
      </w:pPr>
      <w:r>
        <w:rPr>
          <w:rFonts w:ascii="宋体" w:hAnsi="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jc w:val="center"/>
        <w:spacing w:line="360" w:lineRule="auto"/>
        <w:rPr>
          <w:rFonts w:hint="eastAsia" w:ascii="宋体" w:hAnsi="宋体"/>
          <w:b/>
          <w:color w:val="auto"/>
          <w:sz w:val="32"/>
          <w:highlight w:val="none"/>
        </w:rPr>
        <w:outlineLvl w:val="0"/>
      </w:pPr>
      <w:r>
        <w:rPr>
          <w:rFonts w:hint="eastAsia" w:ascii="宋体" w:hAnsi="宋体"/>
          <w:b/>
          <w:color w:val="auto"/>
          <w:sz w:val="32"/>
          <w:highlight w:val="none"/>
        </w:rPr>
        <w:t xml:space="preserve">五、附 件</w:t>
      </w:r>
      <w:r/>
    </w:p>
    <w:p>
      <w:pPr>
        <w:rPr>
          <w:rFonts w:hint="eastAsia" w:ascii="宋体" w:hAnsi="宋体" w:cs="宋体"/>
          <w:b/>
          <w:color w:val="auto"/>
          <w:szCs w:val="21"/>
          <w:highlight w:val="none"/>
        </w:rPr>
      </w:pPr>
      <w:r>
        <w:rPr>
          <w:rFonts w:hint="eastAsia" w:ascii="宋体" w:hAnsi="宋体"/>
          <w:b/>
          <w:color w:val="auto"/>
          <w:highlight w:val="none"/>
        </w:rPr>
        <w:t xml:space="preserve">附件</w:t>
      </w:r>
      <w:r>
        <w:rPr>
          <w:rFonts w:ascii="宋体" w:hAnsi="宋体"/>
          <w:b/>
          <w:color w:val="auto"/>
          <w:highlight w:val="none"/>
        </w:rPr>
        <w:t xml:space="preserve">1</w:t>
      </w:r>
      <w:r>
        <w:rPr>
          <w:rFonts w:hint="eastAsia" w:ascii="宋体" w:hAnsi="宋体"/>
          <w:b/>
          <w:color w:val="auto"/>
          <w:highlight w:val="none"/>
        </w:rPr>
        <w:t xml:space="preserve">、</w:t>
      </w:r>
      <w:r>
        <w:rPr>
          <w:rFonts w:hint="eastAsia" w:ascii="宋体" w:hAnsi="宋体" w:cs="宋体"/>
          <w:b/>
          <w:color w:val="auto"/>
          <w:szCs w:val="21"/>
          <w:highlight w:val="none"/>
        </w:rPr>
        <w:t xml:space="preserve">法定代表人授权委托书</w:t>
      </w:r>
      <w:r/>
    </w:p>
    <w:p>
      <w:pPr>
        <w:jc w:val="center"/>
        <w:spacing w:line="400" w:lineRule="exact"/>
        <w:tabs>
          <w:tab w:val="left" w:pos="360" w:leader="none"/>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法定代表人授权委托书</w:t>
      </w:r>
      <w:r/>
    </w:p>
    <w:p>
      <w:pPr>
        <w:pStyle w:val="994"/>
        <w:jc w:val="both"/>
        <w:spacing w:line="360" w:lineRule="auto"/>
        <w:rPr>
          <w:rFonts w:hint="eastAsia" w:ascii="宋体" w:hAnsi="宋体" w:eastAsia="宋体"/>
          <w:color w:val="auto"/>
          <w:sz w:val="28"/>
          <w:highlight w:val="none"/>
        </w:rPr>
      </w:pPr>
      <w:r>
        <w:rPr>
          <w:rFonts w:hint="eastAsia" w:ascii="宋体" w:hAnsi="宋体" w:eastAsia="宋体"/>
          <w:color w:val="auto"/>
          <w:sz w:val="28"/>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本授权委托书声明：</w:t>
      </w:r>
      <w:r>
        <w:rPr>
          <w:rFonts w:ascii="宋体" w:hAnsi="宋体"/>
          <w:color w:val="auto"/>
          <w:szCs w:val="21"/>
          <w:highlight w:val="none"/>
        </w:rPr>
        <w:t xml:space="preserve">  </w:t>
      </w:r>
      <w:r>
        <w:rPr>
          <w:rFonts w:hint="eastAsia" w:ascii="宋体" w:hAnsi="宋体"/>
          <w:color w:val="auto"/>
          <w:szCs w:val="21"/>
          <w:highlight w:val="none"/>
        </w:rPr>
        <w:t xml:space="preserve">我</w:t>
      </w:r>
      <w:r>
        <w:rPr>
          <w:rFonts w:ascii="宋体" w:hAnsi="宋体"/>
          <w:color w:val="auto"/>
          <w:szCs w:val="21"/>
          <w:highlight w:val="none"/>
          <w:u w:val="single"/>
        </w:rPr>
        <w:t xml:space="preserve">           </w:t>
      </w:r>
      <w:r>
        <w:rPr>
          <w:rFonts w:hint="eastAsia" w:ascii="宋体" w:hAnsi="宋体"/>
          <w:color w:val="auto"/>
          <w:szCs w:val="21"/>
          <w:highlight w:val="none"/>
        </w:rPr>
        <w:t xml:space="preserve">（姓名）系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（供应商名称）</w:t>
      </w:r>
      <w:r>
        <w:rPr>
          <w:rFonts w:hint="eastAsia" w:ascii="宋体" w:hAnsi="宋体"/>
          <w:color w:val="auto"/>
          <w:szCs w:val="21"/>
          <w:highlight w:val="none"/>
        </w:rPr>
        <w:t xml:space="preserve">的法定代表人，现授权委托</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（姓名）为我公司授权代表（即代理人），以本公司的名义参加 </w:t>
      </w:r>
      <w:r>
        <w:rPr>
          <w:rFonts w:hint="eastAsia" w:ascii="宋体" w:hAnsi="宋体"/>
          <w:color w:val="auto"/>
          <w:szCs w:val="21"/>
          <w:highlight w:val="none"/>
          <w:u w:val="single"/>
        </w:rPr>
        <w:t xml:space="preserve">    苏州市原鑫招投标咨询服务有限公司</w:t>
      </w:r>
      <w:r>
        <w:rPr>
          <w:rFonts w:hint="eastAsia" w:ascii="宋体" w:hAnsi="宋体"/>
          <w:b/>
          <w:i/>
          <w:color w:val="auto"/>
          <w:szCs w:val="21"/>
          <w:highlight w:val="none"/>
          <w:u w:val="single"/>
        </w:rPr>
        <w:t xml:space="preserve">  </w:t>
      </w:r>
      <w:r>
        <w:rPr>
          <w:rFonts w:hint="eastAsia" w:ascii="宋体" w:hAnsi="宋体"/>
          <w:color w:val="auto"/>
          <w:szCs w:val="21"/>
          <w:highlight w:val="none"/>
        </w:rPr>
        <w:t xml:space="preserve"> 组织实施的编号为</w:t>
      </w:r>
      <w:r>
        <w:rPr>
          <w:rFonts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JSZC-320506-SZYX-C2026-0014</w:t>
      </w:r>
      <w:r>
        <w:rPr>
          <w:rFonts w:ascii="宋体" w:hAnsi="宋体"/>
          <w:color w:val="auto"/>
          <w:szCs w:val="21"/>
          <w:highlight w:val="none"/>
          <w:u w:val="single"/>
        </w:rPr>
        <w:t xml:space="preserve">  </w:t>
      </w:r>
      <w:r>
        <w:rPr>
          <w:rFonts w:hint="eastAsia" w:ascii="宋体" w:hAnsi="宋体"/>
          <w:color w:val="auto"/>
          <w:szCs w:val="21"/>
          <w:highlight w:val="none"/>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授权代表无转委托权。特此委托。</w:t>
      </w:r>
      <w:r/>
    </w:p>
    <w:p>
      <w:pPr>
        <w:ind w:firstLine="480"/>
        <w:spacing w:line="360" w:lineRule="auto"/>
        <w:rPr>
          <w:rFonts w:hint="eastAsia" w:ascii="宋体" w:hAnsi="宋体"/>
          <w:color w:val="auto"/>
          <w:szCs w:val="21"/>
          <w:highlight w:val="none"/>
        </w:rPr>
      </w:pPr>
      <w:r>
        <w:rPr>
          <w:rFonts w:ascii="宋体" w:hAnsi="宋体"/>
          <w:color w:val="auto"/>
          <w:szCs w:val="21"/>
          <w:highlight w:val="none"/>
        </w:rPr>
        <w:t xml:space="preserve">    </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供应商：（公章）</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代理人：（签字或盖章）</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94"/>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年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月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日</w:t>
      </w:r>
      <w:r/>
    </w:p>
    <w:p>
      <w:pPr>
        <w:pStyle w:val="994"/>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94"/>
        <w:ind w:firstLine="0"/>
        <w:rPr>
          <w:rFonts w:hint="eastAsia" w:ascii="宋体" w:hAnsi="宋体" w:eastAsia="宋体"/>
          <w:color w:val="auto"/>
          <w:highlight w:val="none"/>
        </w:rPr>
      </w:pPr>
      <w:r>
        <w:rPr>
          <w:rFonts w:hint="eastAsia" w:ascii="宋体" w:hAnsi="宋体" w:eastAsia="宋体"/>
          <w:color w:val="auto"/>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后附身份证</w:t>
      </w:r>
      <w:r/>
    </w:p>
    <w:p>
      <w:pPr>
        <w:jc w:val="left"/>
        <w:widowControl/>
        <w:rPr>
          <w:rFonts w:hint="eastAsia" w:ascii="宋体" w:hAnsi="宋体"/>
          <w:color w:val="auto"/>
          <w:sz w:val="28"/>
          <w:szCs w:val="20"/>
          <w:highlight w:val="none"/>
        </w:rPr>
      </w:pPr>
      <w:r>
        <w:rPr>
          <w:rFonts w:hAnsi="宋体"/>
          <w:color w:val="auto"/>
          <w:highlight w:val="none"/>
        </w:rPr>
        <w:br w:type="page" w:clear="all"/>
      </w:r>
      <w:r/>
    </w:p>
    <w:p>
      <w:pPr>
        <w:pStyle w:val="1003"/>
        <w:spacing w:line="38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附件2、磋商响应函</w:t>
      </w:r>
      <w:r/>
    </w:p>
    <w:p>
      <w:pPr>
        <w:pStyle w:val="1003"/>
        <w:jc w:val="center"/>
        <w:spacing w:line="38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磋商响应函</w:t>
      </w:r>
      <w:r/>
    </w:p>
    <w:p>
      <w:pPr>
        <w:pStyle w:val="1003"/>
        <w:jc w:val="center"/>
        <w:spacing w:line="380" w:lineRule="exact"/>
        <w:rPr>
          <w:rFonts w:hint="eastAsia" w:hAnsi="宋体" w:eastAsia="宋体"/>
          <w:color w:val="auto"/>
          <w:sz w:val="24"/>
          <w:highlight w:val="none"/>
        </w:rPr>
      </w:pPr>
      <w:r>
        <w:rPr>
          <w:rFonts w:hint="eastAsia" w:hAnsi="宋体" w:eastAsia="宋体"/>
          <w:color w:val="auto"/>
          <w:sz w:val="24"/>
          <w:highlight w:val="none"/>
        </w:rPr>
      </w:r>
      <w:r/>
    </w:p>
    <w:p>
      <w:pPr>
        <w:pStyle w:val="1003"/>
        <w:spacing w:line="380" w:lineRule="exact"/>
        <w:rPr>
          <w:rFonts w:hint="eastAsia" w:hAnsi="宋体" w:eastAsia="宋体"/>
          <w:color w:val="auto"/>
          <w:sz w:val="21"/>
          <w:szCs w:val="21"/>
          <w:highlight w:val="none"/>
        </w:rPr>
      </w:pP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color w:val="auto"/>
          <w:sz w:val="21"/>
          <w:szCs w:val="21"/>
          <w:highlight w:val="none"/>
          <w:u w:val="single"/>
        </w:rPr>
        <w:t xml:space="preserve">  苏州市原鑫招投标咨询服务有限公司   </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 </w:t>
      </w:r>
      <w:r/>
    </w:p>
    <w:p>
      <w:pPr>
        <w:pStyle w:val="1003"/>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6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我们收到贵公司</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u w:val="single"/>
          <w:lang w:eastAsia="zh-CN"/>
        </w:rPr>
        <w:t xml:space="preserve">JSZC-320506-SZYX-C2026-0014</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rPr>
        <w:t xml:space="preserve">号磋商文件，经仔细阅读和研究，我们决定参加磋商活动。</w:t>
      </w:r>
      <w:r/>
    </w:p>
    <w:p>
      <w:pPr>
        <w:pStyle w:val="1168"/>
        <w:ind w:firstLine="420"/>
        <w:spacing w:line="360" w:lineRule="auto"/>
        <w:rPr>
          <w:rFonts w:hint="eastAsia" w:hAnsi="宋体" w:eastAsia="宋体"/>
          <w:b/>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、我们愿意按照磋商文件的一切要求，完成该项目的全部内容。</w:t>
      </w:r>
      <w:r/>
    </w:p>
    <w:p>
      <w:pPr>
        <w:pStyle w:val="1168"/>
        <w:ind w:firstLine="420"/>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、如果我们的磋商响应文件被接受，我们将严格履行磋商文件中规定的每一项要求，按期、按质、按量履行合同的义务。</w:t>
      </w:r>
      <w:r/>
    </w:p>
    <w:p>
      <w:pPr>
        <w:pStyle w:val="1168"/>
        <w:ind w:firstLine="420"/>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、我们已</w:t>
      </w:r>
      <w:r>
        <w:rPr>
          <w:rFonts w:hAnsi="宋体" w:eastAsia="宋体"/>
          <w:color w:val="auto"/>
          <w:sz w:val="21"/>
          <w:szCs w:val="21"/>
          <w:highlight w:val="none"/>
        </w:rPr>
        <w:t xml:space="preserve">详细</w:t>
      </w:r>
      <w:r>
        <w:rPr>
          <w:rFonts w:hint="eastAsia" w:hAnsi="宋体" w:eastAsia="宋体"/>
          <w:color w:val="auto"/>
          <w:sz w:val="21"/>
          <w:szCs w:val="21"/>
          <w:highlight w:val="none"/>
        </w:rPr>
        <w:t xml:space="preserve">阅读</w:t>
      </w:r>
      <w:r>
        <w:rPr>
          <w:rFonts w:hAnsi="宋体" w:eastAsia="宋体"/>
          <w:color w:val="auto"/>
          <w:sz w:val="21"/>
          <w:szCs w:val="21"/>
          <w:highlight w:val="none"/>
        </w:rPr>
        <w:t xml:space="preserve">全部</w:t>
      </w:r>
      <w:r>
        <w:rPr>
          <w:rFonts w:hint="eastAsia" w:hAnsi="宋体" w:eastAsia="宋体"/>
          <w:color w:val="auto"/>
          <w:sz w:val="21"/>
          <w:szCs w:val="21"/>
          <w:highlight w:val="none"/>
        </w:rPr>
        <w:t xml:space="preserve">磋商文件</w:t>
      </w:r>
      <w:r>
        <w:rPr>
          <w:rFonts w:hAnsi="宋体" w:eastAsia="宋体"/>
          <w:color w:val="auto"/>
          <w:sz w:val="21"/>
          <w:szCs w:val="21"/>
          <w:highlight w:val="none"/>
        </w:rPr>
        <w:t xml:space="preserve">，包括</w:t>
      </w:r>
      <w:r>
        <w:rPr>
          <w:rFonts w:hint="eastAsia" w:hAnsi="宋体" w:eastAsia="宋体"/>
          <w:color w:val="auto"/>
          <w:sz w:val="21"/>
          <w:szCs w:val="21"/>
          <w:highlight w:val="none"/>
        </w:rPr>
        <w:t xml:space="preserve">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，对磋商文件及更正公告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无任何异议。</w:t>
      </w:r>
      <w:r/>
    </w:p>
    <w:p>
      <w:pPr>
        <w:pStyle w:val="116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4、我们同意按磋商文件中的规定，本响应文件的有效期限自提交响应文件截止时间之日起</w:t>
      </w:r>
      <w:r>
        <w:rPr>
          <w:rFonts w:hint="eastAsia" w:hAnsi="宋体" w:eastAsia="宋体"/>
          <w:color w:val="auto"/>
          <w:sz w:val="21"/>
          <w:szCs w:val="21"/>
          <w:highlight w:val="none"/>
          <w:u w:val="single"/>
        </w:rPr>
        <w:t xml:space="preserve">60</w:t>
      </w:r>
      <w:r>
        <w:rPr>
          <w:rFonts w:hint="eastAsia" w:hAnsi="宋体" w:eastAsia="宋体"/>
          <w:color w:val="auto"/>
          <w:sz w:val="21"/>
          <w:szCs w:val="21"/>
          <w:highlight w:val="none"/>
        </w:rPr>
        <w:t xml:space="preserve">天。</w:t>
      </w:r>
      <w:r/>
    </w:p>
    <w:p>
      <w:pPr>
        <w:pStyle w:val="116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5、我们愿意提供磋商</w:t>
      </w:r>
      <w:r>
        <w:rPr>
          <w:rFonts w:hint="eastAsia" w:hAnsi="宋体" w:eastAsia="宋体"/>
          <w:color w:val="auto"/>
          <w:sz w:val="21"/>
          <w:szCs w:val="21"/>
          <w:highlight w:val="none"/>
          <w:lang w:eastAsia="zh-CN"/>
        </w:rPr>
        <w:t xml:space="preserve">采购人</w:t>
      </w:r>
      <w:r>
        <w:rPr>
          <w:rFonts w:hint="eastAsia" w:hAnsi="宋体" w:eastAsia="宋体"/>
          <w:color w:val="auto"/>
          <w:sz w:val="21"/>
          <w:szCs w:val="21"/>
          <w:highlight w:val="none"/>
        </w:rPr>
        <w:t xml:space="preserve">在磋商文件中要求的相关资料。</w:t>
      </w:r>
      <w:r/>
    </w:p>
    <w:p>
      <w:pPr>
        <w:pStyle w:val="116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6、我们愿意遵守磋商文件中所列的收费标准。</w:t>
      </w:r>
      <w:r/>
    </w:p>
    <w:p>
      <w:pPr>
        <w:pStyle w:val="116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7、我们承诺该响应文件在磋商开始后的全过程中保持有效，不作任何更改和变动。</w:t>
      </w:r>
      <w:r/>
    </w:p>
    <w:p>
      <w:pPr>
        <w:pStyle w:val="116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8、我们承诺我公司符合磋商文件中“合格供应商的基本、特定条件”的要求，若与真实情况不符，本公司愿意承担由此而产生的一切后果。</w:t>
      </w:r>
      <w:r/>
    </w:p>
    <w:p>
      <w:pPr>
        <w:pStyle w:val="116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9、所有有关磋商文件的函电，请按下列地址联系：</w:t>
      </w:r>
      <w:r/>
    </w:p>
    <w:p>
      <w:pPr>
        <w:pStyle w:val="116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单位：                             联系人：</w:t>
      </w:r>
      <w:r/>
    </w:p>
    <w:p>
      <w:pPr>
        <w:pStyle w:val="116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地址：                             邮政编码：</w:t>
      </w:r>
      <w:r/>
    </w:p>
    <w:p>
      <w:pPr>
        <w:pStyle w:val="116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联系电话：                         传真：</w:t>
      </w:r>
      <w:r/>
    </w:p>
    <w:p>
      <w:pPr>
        <w:pStyle w:val="1168"/>
        <w:ind w:left="3399" w:firstLine="73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1168"/>
        <w:ind w:left="3824" w:firstLine="31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1168"/>
        <w:ind w:left="3399" w:firstLine="73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pStyle w:val="1003"/>
        <w:rPr>
          <w:rFonts w:hint="eastAsia" w:hAnsi="宋体" w:eastAsia="宋体"/>
          <w:b/>
          <w:color w:val="auto"/>
          <w:sz w:val="21"/>
          <w:szCs w:val="21"/>
          <w:highlight w:val="none"/>
        </w:rPr>
      </w:pPr>
      <w:r>
        <w:rPr>
          <w:rFonts w:hAnsi="宋体" w:eastAsia="宋体"/>
          <w:b/>
          <w:color w:val="auto"/>
          <w:sz w:val="24"/>
          <w:szCs w:val="24"/>
          <w:highlight w:val="none"/>
        </w:rPr>
        <w:br w:type="page" w:clear="all"/>
      </w:r>
      <w:r>
        <w:rPr>
          <w:rFonts w:hint="eastAsia" w:hAnsi="宋体" w:eastAsia="宋体"/>
          <w:b/>
          <w:color w:val="auto"/>
          <w:sz w:val="21"/>
          <w:szCs w:val="21"/>
          <w:highlight w:val="none"/>
        </w:rPr>
        <w:t xml:space="preserve">附件</w:t>
      </w:r>
      <w:r>
        <w:rPr>
          <w:rFonts w:hAnsi="宋体" w:eastAsia="宋体"/>
          <w:b/>
          <w:color w:val="auto"/>
          <w:sz w:val="21"/>
          <w:szCs w:val="21"/>
          <w:highlight w:val="none"/>
        </w:rPr>
        <w:t xml:space="preserve">3</w:t>
      </w:r>
      <w:r>
        <w:rPr>
          <w:rFonts w:hint="eastAsia" w:hAnsi="宋体" w:eastAsia="宋体"/>
          <w:b/>
          <w:color w:val="auto"/>
          <w:sz w:val="21"/>
          <w:szCs w:val="21"/>
          <w:highlight w:val="none"/>
        </w:rPr>
        <w:t xml:space="preserve">、报价表</w:t>
      </w:r>
      <w:r/>
    </w:p>
    <w:p>
      <w:pPr>
        <w:pStyle w:val="1168"/>
        <w:jc w:val="center"/>
        <w:rPr>
          <w:rFonts w:hint="eastAsia" w:hAnsi="宋体" w:eastAsia="宋体"/>
          <w:b/>
          <w:color w:val="auto"/>
          <w:sz w:val="21"/>
          <w:szCs w:val="21"/>
          <w:highlight w:val="none"/>
        </w:rPr>
      </w:pPr>
      <w:r>
        <w:rPr>
          <w:rFonts w:hint="eastAsia" w:hAnsi="宋体" w:eastAsia="宋体"/>
          <w:b/>
          <w:color w:val="auto"/>
          <w:sz w:val="21"/>
          <w:szCs w:val="21"/>
          <w:highlight w:val="none"/>
        </w:rPr>
        <w:t xml:space="preserve">磋商报价表</w:t>
      </w:r>
      <w:r/>
    </w:p>
    <w:p>
      <w:pPr>
        <w:pStyle w:val="1168"/>
        <w:jc w:val="center"/>
        <w:rPr>
          <w:rFonts w:hint="eastAsia" w:hAnsi="宋体" w:eastAsia="宋体"/>
          <w:b/>
          <w:color w:val="auto"/>
          <w:sz w:val="21"/>
          <w:szCs w:val="21"/>
          <w:highlight w:val="none"/>
        </w:rPr>
      </w:pPr>
      <w:r>
        <w:rPr>
          <w:rFonts w:hint="eastAsia" w:hAnsi="宋体" w:eastAsia="宋体"/>
          <w:b/>
          <w:color w:val="auto"/>
          <w:sz w:val="21"/>
          <w:szCs w:val="21"/>
          <w:highlight w:val="none"/>
        </w:rPr>
      </w:r>
      <w:r/>
    </w:p>
    <w:tbl>
      <w:tblPr>
        <w:tblStyle w:val="984"/>
        <w:tblW w:w="9220" w:type="dxa"/>
        <w:tblInd w:w="507" w:type="dxa"/>
        <w:tblLayout w:type="fixed"/>
        <w:tblCellMar>
          <w:left w:w="108" w:type="dxa"/>
          <w:top w:w="0" w:type="dxa"/>
          <w:right w:w="108" w:type="dxa"/>
          <w:bottom w:w="0" w:type="dxa"/>
        </w:tblCellMar>
        <w:tblLook w:val="04A0" w:firstRow="1" w:lastRow="0" w:firstColumn="1" w:lastColumn="0" w:noHBand="0" w:noVBand="1"/>
      </w:tblPr>
      <w:tblGrid>
        <w:gridCol w:w="5213"/>
        <w:gridCol w:w="2325"/>
        <w:gridCol w:w="1682"/>
      </w:tblGrid>
      <w:tr>
        <w:trPr>
          <w:trHeight w:val="567"/>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rPr>
                <w:rFonts w:cs="宋体"/>
                <w:color w:val="auto"/>
                <w:highlight w:val="none"/>
              </w:rPr>
            </w:pPr>
            <w:r>
              <w:rPr>
                <w:rFonts w:hint="eastAsia"/>
                <w:color w:val="auto"/>
                <w:highlight w:val="none"/>
              </w:rPr>
              <w:t xml:space="preserve">投标人名称</w:t>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widowControl/>
              <w:rPr>
                <w:rFonts w:cs="宋体"/>
                <w:color w:val="auto"/>
                <w:highlight w:val="none"/>
              </w:rPr>
            </w:pPr>
            <w:r>
              <w:rPr>
                <w:rFonts w:hint="eastAsia" w:cs="宋体"/>
                <w:color w:val="auto"/>
                <w:highlight w:val="none"/>
              </w:rPr>
              <w:t xml:space="preserve">投标报价（元）</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widowControl/>
              <w:rPr>
                <w:rFonts w:cs="宋体"/>
                <w:bCs/>
                <w:color w:val="auto"/>
                <w:highlight w:val="none"/>
              </w:rPr>
            </w:pPr>
            <w:r>
              <w:rPr>
                <w:rFonts w:hint="eastAsia" w:cs="宋体"/>
                <w:bCs/>
                <w:color w:val="auto"/>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spacing w:line="360" w:lineRule="auto"/>
              <w:widowControl/>
              <w:rPr>
                <w:rFonts w:cs="宋体"/>
                <w:color w:val="auto"/>
                <w:highlight w:val="none"/>
              </w:rPr>
            </w:pPr>
            <w:r>
              <w:rPr>
                <w:rFonts w:cs="宋体"/>
                <w:color w:val="auto"/>
                <w:highlight w:val="none"/>
              </w:rPr>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widowControl/>
              <w:rPr>
                <w:rFonts w:cs="宋体"/>
                <w:color w:val="auto"/>
                <w:highlight w:val="none"/>
              </w:rPr>
            </w:pPr>
            <w:r>
              <w:rPr>
                <w:rFonts w:cs="宋体"/>
                <w:color w:val="auto"/>
                <w:highlight w:val="none"/>
              </w:rPr>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widowControl/>
              <w:rPr>
                <w:rFonts w:cs="宋体"/>
                <w:color w:val="auto"/>
                <w:highlight w:val="none"/>
              </w:rPr>
            </w:pPr>
            <w:r>
              <w:rPr>
                <w:rFonts w:cs="宋体"/>
                <w:color w:val="auto"/>
                <w:highlight w:val="none"/>
              </w:rPr>
            </w:r>
            <w:r/>
          </w:p>
        </w:tc>
      </w:tr>
    </w:tbl>
    <w:p>
      <w:pPr>
        <w:pStyle w:val="1168"/>
        <w:spacing w:line="360" w:lineRule="exact"/>
        <w:rPr>
          <w:rFonts w:hint="eastAsia" w:hAnsi="宋体" w:eastAsia="宋体"/>
          <w:color w:val="auto"/>
          <w:spacing w:val="20"/>
          <w:sz w:val="21"/>
          <w:szCs w:val="21"/>
          <w:highlight w:val="none"/>
        </w:rPr>
      </w:pPr>
      <w:r>
        <w:rPr>
          <w:rFonts w:hAnsi="宋体" w:eastAsia="宋体"/>
          <w:color w:val="auto"/>
          <w:spacing w:val="20"/>
          <w:sz w:val="21"/>
          <w:szCs w:val="21"/>
          <w:highlight w:val="none"/>
        </w:rPr>
        <w:t xml:space="preserve"> </w:t>
      </w:r>
      <w:r/>
    </w:p>
    <w:p>
      <w:pPr>
        <w:pStyle w:val="1168"/>
        <w:ind w:firstLine="567"/>
        <w:spacing w:line="36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供应商：（公章）</w:t>
      </w:r>
      <w:r/>
    </w:p>
    <w:p>
      <w:pPr>
        <w:ind w:firstLine="567"/>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67"/>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116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68"/>
        <w:ind w:firstLine="525"/>
        <w:spacing w:line="360" w:lineRule="exact"/>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注：本项目按完成项目的总价进行报价。</w:t>
      </w:r>
      <w:r/>
    </w:p>
    <w:p>
      <w:pPr>
        <w:pStyle w:val="116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6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6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jc w:val="center"/>
        <w:spacing w:line="48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8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磋商分项报价明细表</w:t>
      </w:r>
      <w:r/>
    </w:p>
    <w:p>
      <w:pPr>
        <w:ind w:firstLine="424"/>
        <w:jc w:val="left"/>
        <w:spacing w:line="400" w:lineRule="exact"/>
        <w:tabs>
          <w:tab w:val="left" w:pos="70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                                                         </w:t>
      </w:r>
      <w:r/>
    </w:p>
    <w:tbl>
      <w:tblPr>
        <w:tblStyle w:val="984"/>
        <w:tblW w:w="9597" w:type="dxa"/>
        <w:tblInd w:w="4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1"/>
        <w:gridCol w:w="2351"/>
        <w:gridCol w:w="2895"/>
        <w:gridCol w:w="929"/>
        <w:gridCol w:w="1396"/>
        <w:gridCol w:w="1335"/>
      </w:tblGrid>
      <w:tr>
        <w:trPr>
          <w:cantSplit/>
          <w:trHeight w:val="567"/>
        </w:trPr>
        <w:tc>
          <w:tcPr>
            <w:tcW w:w="69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right w:val="single" w:color="auto" w:sz="4" w:space="0"/>
            </w:tcBorders>
            <w:tcW w:w="235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tcBorders>
              <w:left w:val="single" w:color="auto" w:sz="4" w:space="0"/>
              <w:right w:val="single" w:color="auto" w:sz="4" w:space="0"/>
            </w:tcBorders>
            <w:tcW w:w="289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服务内容</w:t>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Borders>
              <w:bottom w:val="single" w:color="auto" w:sz="4" w:space="0"/>
              <w:right w:val="single" w:color="auto" w:sz="4" w:space="0"/>
            </w:tcBorders>
            <w:tcW w:w="139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单价（元）</w:t>
            </w:r>
            <w:r/>
          </w:p>
        </w:tc>
        <w:tc>
          <w:tcPr>
            <w:tcBorders>
              <w:bottom w:val="single" w:color="auto" w:sz="4" w:space="0"/>
              <w:right w:val="single" w:color="auto" w:sz="4" w:space="0"/>
            </w:tcBorders>
            <w:tcW w:w="133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总价（元）</w:t>
            </w:r>
            <w:r/>
          </w:p>
        </w:tc>
      </w:tr>
      <w:tr>
        <w:trPr>
          <w:cantSplit/>
          <w:trHeight w:val="567"/>
        </w:trPr>
        <w:tc>
          <w:tcPr>
            <w:tcW w:w="691"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right w:val="single" w:color="auto" w:sz="4" w:space="0"/>
            </w:tcBorders>
            <w:tcW w:w="2351"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Borders>
              <w:right w:val="single" w:color="auto" w:sz="4" w:space="0"/>
            </w:tcBorders>
            <w:tcW w:w="2351"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right w:val="single" w:color="auto" w:sz="4" w:space="0"/>
            </w:tcBorders>
            <w:tcW w:w="235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Borders>
              <w:right w:val="single" w:color="auto" w:sz="4" w:space="0"/>
            </w:tcBorders>
            <w:tcW w:w="235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gridSpan w:val="6"/>
            <w:tcBorders>
              <w:right w:val="single" w:color="auto" w:sz="4" w:space="0"/>
            </w:tcBorders>
            <w:tcW w:w="9597"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hAnsi="宋体"/>
                <w:color w:val="auto"/>
                <w:szCs w:val="21"/>
                <w:highlight w:val="none"/>
              </w:rPr>
              <w:t xml:space="preserve">磋商总报价：人民币大写：</w:t>
            </w:r>
            <w:r>
              <w:rPr>
                <w:rFonts w:hint="eastAsia" w:hAnsi="宋体"/>
                <w:color w:val="auto"/>
                <w:szCs w:val="21"/>
                <w:highlight w:val="none"/>
                <w:u w:val="single"/>
              </w:rPr>
              <w:t xml:space="preserve">                    </w:t>
            </w:r>
            <w:r>
              <w:rPr>
                <w:rFonts w:hint="eastAsia" w:hAnsi="宋体"/>
                <w:color w:val="auto"/>
                <w:szCs w:val="21"/>
                <w:highlight w:val="none"/>
              </w:rPr>
              <w:t xml:space="preserve">（小写：</w:t>
            </w:r>
            <w:r>
              <w:rPr>
                <w:rFonts w:hint="eastAsia" w:hAnsi="宋体"/>
                <w:color w:val="auto"/>
                <w:szCs w:val="21"/>
                <w:highlight w:val="none"/>
                <w:u w:val="single"/>
              </w:rPr>
              <w:t xml:space="preserve">               </w:t>
            </w:r>
            <w:r>
              <w:rPr>
                <w:rFonts w:hint="eastAsia" w:hAnsi="宋体"/>
                <w:color w:val="auto"/>
                <w:szCs w:val="21"/>
                <w:highlight w:val="none"/>
              </w:rPr>
              <w:t xml:space="preserve">）</w:t>
            </w:r>
            <w:r/>
          </w:p>
        </w:tc>
      </w:tr>
    </w:tbl>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1168"/>
        <w:ind w:firstLine="567"/>
        <w:spacing w:line="36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供应商：（公章）</w:t>
      </w:r>
      <w:r/>
    </w:p>
    <w:p>
      <w:pPr>
        <w:ind w:firstLine="567"/>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67"/>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116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94"/>
        <w:ind w:firstLine="0"/>
        <w:spacing w:line="360" w:lineRule="exact"/>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94"/>
        <w:ind w:firstLine="0"/>
        <w:spacing w:line="360" w:lineRule="exact"/>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94"/>
        <w:ind w:firstLine="0"/>
        <w:spacing w:line="360" w:lineRule="exact"/>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1003"/>
        <w:rPr>
          <w:rFonts w:hint="eastAsia" w:hAnsi="宋体" w:eastAsia="宋体"/>
          <w:b/>
          <w:bCs/>
          <w:color w:val="auto"/>
          <w:szCs w:val="21"/>
          <w:highlight w:val="none"/>
        </w:rPr>
      </w:pPr>
      <w:r>
        <w:rPr>
          <w:rFonts w:hint="eastAsia" w:hAnsi="宋体" w:eastAsia="宋体"/>
          <w:b/>
          <w:color w:val="auto"/>
          <w:sz w:val="21"/>
          <w:szCs w:val="21"/>
          <w:highlight w:val="none"/>
        </w:rPr>
        <w:br w:type="page" w:clear="all"/>
      </w:r>
      <w:r>
        <w:rPr>
          <w:rFonts w:hint="eastAsia" w:hAnsi="宋体" w:eastAsia="宋体"/>
          <w:b/>
          <w:color w:val="auto"/>
          <w:sz w:val="21"/>
          <w:szCs w:val="21"/>
          <w:highlight w:val="none"/>
        </w:rPr>
        <w:t xml:space="preserve">附件4、服务要求偏离表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服务要求偏离表</w:t>
      </w:r>
      <w:r/>
    </w:p>
    <w:p>
      <w:pPr>
        <w:ind w:firstLine="630"/>
        <w:rPr>
          <w:rFonts w:hint="eastAsia" w:ascii="宋体" w:hAnsi="宋体"/>
          <w:b/>
          <w:color w:val="auto"/>
          <w:spacing w:val="20"/>
          <w:szCs w:val="21"/>
          <w:highlight w:val="none"/>
        </w:rPr>
      </w:pP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采购编号</w:t>
      </w:r>
      <w:r>
        <w:rPr>
          <w:rFonts w:hint="eastAsia" w:ascii="宋体" w:hAnsi="宋体" w:cs="宋体"/>
          <w:color w:val="auto"/>
          <w:szCs w:val="21"/>
          <w:highlight w:val="none"/>
          <w:lang w:val="zh-CN"/>
        </w:rPr>
        <w:t xml:space="preserve">∶</w:t>
      </w:r>
      <w:r/>
    </w:p>
    <w:tbl>
      <w:tblPr>
        <w:tblStyle w:val="984"/>
        <w:tblW w:w="9240"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870"/>
        <w:gridCol w:w="2051"/>
        <w:gridCol w:w="2052"/>
        <w:gridCol w:w="2496"/>
      </w:tblGrid>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1870" w:type="dxa"/>
            <w:vAlign w:val="center"/>
            <w:textDirection w:val="lrTb"/>
            <w:noWrap w:val="false"/>
          </w:tcPr>
          <w:p>
            <w:pPr>
              <w:pStyle w:val="994"/>
              <w:ind w:left="54"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051" w:type="dxa"/>
            <w:vAlign w:val="center"/>
            <w:textDirection w:val="lrTb"/>
            <w:noWrap w:val="false"/>
          </w:tcPr>
          <w:p>
            <w:pPr>
              <w:pStyle w:val="994"/>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w:t>
            </w:r>
            <w:r>
              <w:rPr>
                <w:rFonts w:ascii="宋体" w:hAnsi="宋体" w:eastAsia="宋体"/>
                <w:color w:val="auto"/>
                <w:sz w:val="21"/>
                <w:szCs w:val="21"/>
                <w:highlight w:val="none"/>
              </w:rPr>
              <w:t xml:space="preserve">要求</w:t>
            </w:r>
            <w:r/>
          </w:p>
        </w:tc>
        <w:tc>
          <w:tcPr>
            <w:tcW w:w="2052" w:type="dxa"/>
            <w:vAlign w:val="center"/>
            <w:textDirection w:val="lrTb"/>
            <w:noWrap w:val="false"/>
          </w:tcPr>
          <w:p>
            <w:pPr>
              <w:pStyle w:val="994"/>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响应情况</w:t>
            </w:r>
            <w:r/>
          </w:p>
        </w:tc>
        <w:tc>
          <w:tcPr>
            <w:tcW w:w="2496" w:type="dxa"/>
            <w:vAlign w:val="center"/>
            <w:textDirection w:val="lrTb"/>
            <w:noWrap w:val="false"/>
          </w:tcPr>
          <w:p>
            <w:pPr>
              <w:pStyle w:val="994"/>
              <w:ind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870" w:type="dxa"/>
            <w:textDirection w:val="lrTb"/>
            <w:noWrap w:val="false"/>
          </w:tcPr>
          <w:p>
            <w:pPr>
              <w:pStyle w:val="99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1" w:type="dxa"/>
            <w:textDirection w:val="lrTb"/>
            <w:noWrap w:val="false"/>
          </w:tcPr>
          <w:p>
            <w:pPr>
              <w:pStyle w:val="99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9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496" w:type="dxa"/>
            <w:textDirection w:val="lrTb"/>
            <w:noWrap w:val="false"/>
          </w:tcPr>
          <w:p>
            <w:pPr>
              <w:pStyle w:val="99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1870" w:type="dxa"/>
            <w:textDirection w:val="lrTb"/>
            <w:noWrap w:val="false"/>
          </w:tcPr>
          <w:p>
            <w:pPr>
              <w:pStyle w:val="99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1" w:type="dxa"/>
            <w:textDirection w:val="lrTb"/>
            <w:noWrap w:val="false"/>
          </w:tcPr>
          <w:p>
            <w:pPr>
              <w:pStyle w:val="99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9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496" w:type="dxa"/>
            <w:textDirection w:val="lrTb"/>
            <w:noWrap w:val="false"/>
          </w:tcPr>
          <w:p>
            <w:pPr>
              <w:pStyle w:val="99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870" w:type="dxa"/>
            <w:textDirection w:val="lrTb"/>
            <w:noWrap w:val="false"/>
          </w:tcPr>
          <w:p>
            <w:pPr>
              <w:pStyle w:val="99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1" w:type="dxa"/>
            <w:textDirection w:val="lrTb"/>
            <w:noWrap w:val="false"/>
          </w:tcPr>
          <w:p>
            <w:pPr>
              <w:pStyle w:val="99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9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496" w:type="dxa"/>
            <w:textDirection w:val="lrTb"/>
            <w:noWrap w:val="false"/>
          </w:tcPr>
          <w:p>
            <w:pPr>
              <w:pStyle w:val="99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ind w:firstLine="63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供应商：（公章）</w:t>
      </w:r>
      <w:r/>
    </w:p>
    <w:p>
      <w:pPr>
        <w:ind w:firstLine="63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法定代表人或代理人（签字或盖章）</w:t>
      </w:r>
      <w:r>
        <w:rPr>
          <w:rFonts w:hint="eastAsia" w:ascii="宋体" w:hAnsi="宋体"/>
          <w:bCs/>
          <w:color w:val="auto"/>
          <w:szCs w:val="21"/>
          <w:highlight w:val="none"/>
        </w:rPr>
        <w:t xml:space="preserve">：</w:t>
      </w:r>
      <w:r/>
    </w:p>
    <w:p>
      <w:pPr>
        <w:ind w:firstLine="63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日期</w:t>
      </w:r>
      <w:r>
        <w:rPr>
          <w:rFonts w:ascii="宋体" w:hAnsi="宋体"/>
          <w:bCs/>
          <w:color w:val="auto"/>
          <w:szCs w:val="21"/>
          <w:highlight w:val="none"/>
        </w:rPr>
        <w:t xml:space="preserve">:</w:t>
      </w:r>
      <w:r/>
    </w:p>
    <w:p>
      <w:pPr>
        <w:spacing w:line="360" w:lineRule="auto"/>
        <w:rPr>
          <w:rFonts w:hint="eastAsia" w:hAnsi="宋体"/>
          <w:b/>
          <w:color w:val="auto"/>
          <w:szCs w:val="21"/>
          <w:highlight w:val="none"/>
        </w:rPr>
      </w:pPr>
      <w:r>
        <w:rPr>
          <w:rFonts w:hint="eastAsia"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附件5、商务条款偏离表</w:t>
      </w:r>
      <w:r/>
    </w:p>
    <w:p>
      <w:pPr>
        <w:ind w:firstLine="63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商务条款偏离表</w:t>
      </w:r>
      <w:r/>
    </w:p>
    <w:p>
      <w:pPr>
        <w:ind w:firstLine="630"/>
        <w:spacing w:line="380" w:lineRule="exact"/>
        <w:rPr>
          <w:rFonts w:hint="eastAsia" w:ascii="宋体" w:hAnsi="宋体" w:cs="宋体"/>
          <w:b/>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984"/>
        <w:tblW w:w="9180" w:type="dxa"/>
        <w:tblInd w:w="42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701"/>
      </w:tblGrid>
      <w:tr>
        <w:trPr>
          <w:cantSplit/>
          <w:trHeight w:val="56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采购文件要求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履约</w:t>
            </w:r>
            <w:r>
              <w:rPr>
                <w:rFonts w:hint="eastAsia" w:ascii="宋体" w:hAnsi="宋体" w:cs="宋体"/>
                <w:color w:val="auto"/>
                <w:szCs w:val="21"/>
                <w:highlight w:val="none"/>
                <w:lang w:val="zh-CN"/>
              </w:rPr>
              <w:t xml:space="preserve">期限</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履约地点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63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供应商：（公章）</w:t>
      </w:r>
      <w:r/>
    </w:p>
    <w:p>
      <w:pPr>
        <w:ind w:firstLine="63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rPr>
          <w:rFonts w:hint="eastAsia" w:ascii="宋体" w:hAnsi="宋体" w:cs="宋体"/>
          <w:bCs/>
          <w:color w:val="auto"/>
          <w:szCs w:val="21"/>
          <w:highlight w:val="none"/>
        </w:rPr>
        <w:t xml:space="preserve">：</w:t>
      </w:r>
      <w:r/>
    </w:p>
    <w:p>
      <w:pPr>
        <w:ind w:firstLine="63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1.响应单位提交的响应文件中与采购文件的技术、商务部分的要求有不同时，应在本表中把采购文件要求与投标实际响应内容逐项对应列出。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2.若事项较多，响应单位可根据投标内容的实际情况另纸说明。</w:t>
      </w:r>
      <w:r/>
    </w:p>
    <w:p>
      <w:pPr>
        <w:pStyle w:val="994"/>
        <w:ind w:firstLine="0"/>
        <w:spacing w:line="400" w:lineRule="exact"/>
        <w:rPr>
          <w:rFonts w:hint="eastAsia" w:ascii="宋体" w:hAnsi="宋体"/>
          <w:b/>
          <w:color w:val="auto"/>
          <w:sz w:val="21"/>
          <w:szCs w:val="21"/>
          <w:highlight w:val="none"/>
        </w:rPr>
      </w:pPr>
      <w:r>
        <w:rPr>
          <w:rFonts w:ascii="宋体" w:hAnsi="宋体"/>
          <w:b/>
          <w:color w:val="auto"/>
          <w:spacing w:val="20"/>
          <w:szCs w:val="21"/>
          <w:highlight w:val="none"/>
        </w:rPr>
        <w:br w:type="page" w:clear="all"/>
      </w:r>
      <w:r>
        <w:rPr>
          <w:rFonts w:hint="eastAsia" w:ascii="宋体" w:hAnsi="宋体" w:eastAsia="宋体"/>
          <w:b/>
          <w:color w:val="auto"/>
          <w:sz w:val="21"/>
          <w:szCs w:val="21"/>
          <w:highlight w:val="none"/>
        </w:rPr>
        <w:t xml:space="preserve">附件6、配备人员一览表</w:t>
      </w:r>
      <w:r/>
    </w:p>
    <w:p>
      <w:pPr>
        <w:jc w:val="center"/>
        <w:spacing w:line="360" w:lineRule="auto"/>
        <w:rPr>
          <w:rFonts w:ascii="宋体" w:hAnsi="Courier New"/>
          <w:b/>
          <w:color w:val="auto"/>
          <w:szCs w:val="21"/>
          <w:highlight w:val="none"/>
        </w:rPr>
      </w:pPr>
      <w:r>
        <w:rPr>
          <w:rFonts w:hint="eastAsia" w:ascii="宋体" w:hAnsi="Courier New"/>
          <w:b/>
          <w:color w:val="auto"/>
          <w:szCs w:val="21"/>
          <w:highlight w:val="none"/>
        </w:rPr>
        <w:t xml:space="preserve">配备人员一览表</w:t>
      </w:r>
      <w:r/>
    </w:p>
    <w:tbl>
      <w:tblPr>
        <w:tblStyle w:val="984"/>
        <w:tblW w:w="9318" w:type="dxa"/>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88"/>
        <w:gridCol w:w="851"/>
        <w:gridCol w:w="850"/>
        <w:gridCol w:w="850"/>
        <w:gridCol w:w="850"/>
        <w:gridCol w:w="1135"/>
        <w:gridCol w:w="909"/>
        <w:gridCol w:w="850"/>
        <w:gridCol w:w="1418"/>
      </w:tblGrid>
      <w:tr>
        <w:trPr>
          <w:trHeight w:val="567"/>
        </w:trPr>
        <w:tc>
          <w:tcPr>
            <w:tcW w:w="817" w:type="dxa"/>
            <w:vAlign w:val="center"/>
            <w:textDirection w:val="lrTb"/>
            <w:noWrap w:val="false"/>
          </w:tcPr>
          <w:p>
            <w:pPr>
              <w:jc w:val="center"/>
              <w:rPr>
                <w:color w:val="auto"/>
                <w:szCs w:val="21"/>
                <w:highlight w:val="none"/>
              </w:rPr>
            </w:pPr>
            <w:r>
              <w:rPr>
                <w:rFonts w:hint="eastAsia"/>
                <w:color w:val="auto"/>
                <w:szCs w:val="21"/>
                <w:highlight w:val="none"/>
              </w:rPr>
              <w:t xml:space="preserve">序号</w:t>
            </w:r>
            <w:r/>
          </w:p>
        </w:tc>
        <w:tc>
          <w:tcPr>
            <w:tcW w:w="788" w:type="dxa"/>
            <w:vAlign w:val="center"/>
            <w:textDirection w:val="lrTb"/>
            <w:noWrap w:val="false"/>
          </w:tcPr>
          <w:p>
            <w:pPr>
              <w:jc w:val="center"/>
              <w:rPr>
                <w:color w:val="auto"/>
                <w:szCs w:val="21"/>
                <w:highlight w:val="none"/>
              </w:rPr>
            </w:pPr>
            <w:r>
              <w:rPr>
                <w:rFonts w:cs="Arial"/>
                <w:color w:val="auto"/>
                <w:szCs w:val="21"/>
                <w:highlight w:val="none"/>
              </w:rPr>
              <w:t xml:space="preserve">姓名</w:t>
            </w:r>
            <w:r/>
          </w:p>
        </w:tc>
        <w:tc>
          <w:tcPr>
            <w:tcW w:w="851" w:type="dxa"/>
            <w:vAlign w:val="center"/>
            <w:textDirection w:val="lrTb"/>
            <w:noWrap w:val="false"/>
          </w:tcPr>
          <w:p>
            <w:pPr>
              <w:jc w:val="center"/>
              <w:rPr>
                <w:color w:val="auto"/>
                <w:szCs w:val="21"/>
                <w:highlight w:val="none"/>
              </w:rPr>
            </w:pPr>
            <w:r>
              <w:rPr>
                <w:rFonts w:cs="Arial"/>
                <w:color w:val="auto"/>
                <w:szCs w:val="21"/>
                <w:highlight w:val="none"/>
              </w:rPr>
              <w:t xml:space="preserve">在本项目中的职位</w:t>
            </w:r>
            <w:r/>
          </w:p>
        </w:tc>
        <w:tc>
          <w:tcPr>
            <w:tcW w:w="850" w:type="dxa"/>
            <w:vAlign w:val="center"/>
            <w:textDirection w:val="lrTb"/>
            <w:noWrap w:val="false"/>
          </w:tcPr>
          <w:p>
            <w:pPr>
              <w:jc w:val="center"/>
              <w:rPr>
                <w:color w:val="auto"/>
                <w:szCs w:val="21"/>
                <w:highlight w:val="none"/>
              </w:rPr>
            </w:pPr>
            <w:r>
              <w:rPr>
                <w:rFonts w:cs="Arial"/>
                <w:color w:val="auto"/>
                <w:szCs w:val="21"/>
                <w:highlight w:val="none"/>
              </w:rPr>
              <w:t xml:space="preserve">年龄</w:t>
            </w:r>
            <w:r/>
          </w:p>
        </w:tc>
        <w:tc>
          <w:tcPr>
            <w:tcW w:w="850" w:type="dxa"/>
            <w:vAlign w:val="center"/>
            <w:textDirection w:val="lrTb"/>
            <w:noWrap w:val="false"/>
          </w:tcPr>
          <w:p>
            <w:pPr>
              <w:jc w:val="center"/>
              <w:rPr>
                <w:color w:val="auto"/>
                <w:szCs w:val="21"/>
                <w:highlight w:val="none"/>
              </w:rPr>
            </w:pPr>
            <w:r>
              <w:rPr>
                <w:rFonts w:cs="Arial"/>
                <w:color w:val="auto"/>
                <w:szCs w:val="21"/>
                <w:highlight w:val="none"/>
              </w:rPr>
              <w:t xml:space="preserve">职称</w:t>
            </w:r>
            <w:r/>
          </w:p>
        </w:tc>
        <w:tc>
          <w:tcPr>
            <w:tcW w:w="850" w:type="dxa"/>
            <w:vAlign w:val="center"/>
            <w:textDirection w:val="lrTb"/>
            <w:noWrap w:val="false"/>
          </w:tcPr>
          <w:p>
            <w:pPr>
              <w:jc w:val="center"/>
              <w:rPr>
                <w:color w:val="auto"/>
                <w:szCs w:val="21"/>
                <w:highlight w:val="none"/>
              </w:rPr>
            </w:pPr>
            <w:r>
              <w:rPr>
                <w:rFonts w:cs="Arial"/>
                <w:color w:val="auto"/>
                <w:szCs w:val="21"/>
                <w:highlight w:val="none"/>
              </w:rPr>
              <w:t xml:space="preserve">学历</w:t>
            </w:r>
            <w:r/>
          </w:p>
        </w:tc>
        <w:tc>
          <w:tcPr>
            <w:tcW w:w="1135" w:type="dxa"/>
            <w:vAlign w:val="center"/>
            <w:textDirection w:val="lrTb"/>
            <w:noWrap w:val="false"/>
          </w:tcPr>
          <w:p>
            <w:pPr>
              <w:jc w:val="center"/>
              <w:rPr>
                <w:color w:val="auto"/>
                <w:szCs w:val="21"/>
                <w:highlight w:val="none"/>
              </w:rPr>
            </w:pPr>
            <w:r>
              <w:rPr>
                <w:rFonts w:hint="eastAsia" w:cs="Arial"/>
                <w:color w:val="auto"/>
                <w:szCs w:val="21"/>
                <w:highlight w:val="none"/>
              </w:rPr>
              <w:t xml:space="preserve">专业</w:t>
            </w:r>
            <w:r/>
          </w:p>
        </w:tc>
        <w:tc>
          <w:tcPr>
            <w:tcW w:w="909" w:type="dxa"/>
            <w:vAlign w:val="center"/>
            <w:textDirection w:val="lrTb"/>
            <w:noWrap w:val="false"/>
          </w:tcPr>
          <w:p>
            <w:pPr>
              <w:jc w:val="center"/>
              <w:rPr>
                <w:color w:val="auto"/>
                <w:szCs w:val="21"/>
                <w:highlight w:val="none"/>
              </w:rPr>
            </w:pPr>
            <w:r>
              <w:rPr>
                <w:rFonts w:hint="eastAsia" w:cs="Arial"/>
                <w:color w:val="auto"/>
                <w:szCs w:val="21"/>
                <w:highlight w:val="none"/>
              </w:rPr>
              <w:t xml:space="preserve">入本机构时间</w:t>
            </w:r>
            <w:r/>
          </w:p>
        </w:tc>
        <w:tc>
          <w:tcPr>
            <w:tcW w:w="850" w:type="dxa"/>
            <w:vAlign w:val="center"/>
            <w:textDirection w:val="lrTb"/>
            <w:noWrap w:val="false"/>
          </w:tcPr>
          <w:p>
            <w:pPr>
              <w:jc w:val="center"/>
              <w:rPr>
                <w:color w:val="auto"/>
                <w:szCs w:val="21"/>
                <w:highlight w:val="none"/>
              </w:rPr>
            </w:pPr>
            <w:r>
              <w:rPr>
                <w:rFonts w:hint="eastAsia" w:cs="Arial"/>
                <w:color w:val="auto"/>
                <w:szCs w:val="21"/>
                <w:highlight w:val="none"/>
              </w:rPr>
              <w:t xml:space="preserve">相关工作经验年限</w:t>
            </w:r>
            <w:r/>
          </w:p>
        </w:tc>
        <w:tc>
          <w:tcPr>
            <w:tcW w:w="1418" w:type="dxa"/>
            <w:vAlign w:val="center"/>
            <w:textDirection w:val="lrTb"/>
            <w:noWrap w:val="false"/>
          </w:tcPr>
          <w:p>
            <w:pPr>
              <w:jc w:val="center"/>
              <w:rPr>
                <w:rFonts w:hint="default" w:eastAsia="宋体"/>
                <w:color w:val="auto"/>
                <w:szCs w:val="21"/>
                <w:highlight w:val="none"/>
                <w:lang w:val="en-US" w:eastAsia="zh-CN"/>
              </w:rPr>
            </w:pPr>
            <w:r>
              <w:rPr>
                <w:rFonts w:hint="eastAsia"/>
                <w:color w:val="auto"/>
                <w:szCs w:val="21"/>
                <w:highlight w:val="none"/>
                <w:lang w:val="en-US" w:eastAsia="zh-CN"/>
              </w:rPr>
              <w:t xml:space="preserve">证书情况</w:t>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1</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2</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3</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4</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5</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bl>
    <w:p>
      <w:pPr>
        <w:pStyle w:val="1041"/>
        <w:rPr>
          <w:rFonts w:hint="eastAsia"/>
          <w:color w:val="auto"/>
          <w:highlight w:val="none"/>
        </w:rPr>
      </w:pPr>
      <w:r>
        <w:rPr>
          <w:rFonts w:hint="eastAsia"/>
          <w:color w:val="auto"/>
          <w:highlight w:val="none"/>
        </w:rPr>
      </w:r>
      <w:r/>
    </w:p>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供应商：（公章）</w:t>
      </w:r>
      <w:r/>
    </w:p>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法定代表人或代理人：（签字或盖章）</w:t>
      </w:r>
      <w:r/>
    </w:p>
    <w:p>
      <w:pPr>
        <w:ind w:firstLine="525"/>
        <w:spacing w:line="360" w:lineRule="exact"/>
        <w:rPr>
          <w:rFonts w:ascii="宋体" w:hAnsi="Courier New"/>
          <w:color w:val="auto"/>
          <w:sz w:val="24"/>
          <w:highlight w:val="none"/>
        </w:rPr>
      </w:pPr>
      <w:r>
        <w:rPr>
          <w:rFonts w:hint="eastAsia" w:ascii="宋体" w:hAnsi="Courier New"/>
          <w:color w:val="auto"/>
          <w:szCs w:val="21"/>
          <w:highlight w:val="none"/>
        </w:rPr>
        <w:t xml:space="preserve">日期：</w:t>
      </w:r>
      <w:r>
        <w:rPr>
          <w:rFonts w:ascii="宋体" w:hAnsi="Courier New"/>
          <w:color w:val="auto"/>
          <w:szCs w:val="21"/>
          <w:highlight w:val="none"/>
        </w:rPr>
        <w:t xml:space="preserve">         </w:t>
      </w:r>
      <w:r>
        <w:rPr>
          <w:rFonts w:hint="eastAsia" w:ascii="宋体" w:hAnsi="Courier New"/>
          <w:color w:val="auto"/>
          <w:szCs w:val="21"/>
          <w:highlight w:val="none"/>
        </w:rPr>
        <w:t xml:space="preserve">年</w:t>
      </w:r>
      <w:r>
        <w:rPr>
          <w:rFonts w:ascii="宋体" w:hAnsi="Courier New"/>
          <w:color w:val="auto"/>
          <w:szCs w:val="21"/>
          <w:highlight w:val="none"/>
        </w:rPr>
        <w:t xml:space="preserve">     </w:t>
      </w:r>
      <w:r>
        <w:rPr>
          <w:rFonts w:hint="eastAsia" w:ascii="宋体" w:hAnsi="Courier New"/>
          <w:color w:val="auto"/>
          <w:szCs w:val="21"/>
          <w:highlight w:val="none"/>
        </w:rPr>
        <w:t xml:space="preserve">月</w:t>
      </w:r>
      <w:r>
        <w:rPr>
          <w:rFonts w:ascii="宋体" w:hAnsi="Courier New"/>
          <w:color w:val="auto"/>
          <w:szCs w:val="21"/>
          <w:highlight w:val="none"/>
        </w:rPr>
        <w:t xml:space="preserve">   </w:t>
      </w:r>
      <w:r>
        <w:rPr>
          <w:rFonts w:hint="eastAsia" w:ascii="宋体" w:hAnsi="Courier New"/>
          <w:color w:val="auto"/>
          <w:szCs w:val="21"/>
          <w:highlight w:val="none"/>
        </w:rPr>
        <w:t xml:space="preserve">日</w:t>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附件7、类似项目业绩一览表</w:t>
      </w:r>
      <w:r/>
    </w:p>
    <w:p>
      <w:pPr>
        <w:jc w:val="center"/>
        <w:spacing w:line="360" w:lineRule="auto"/>
        <w:rPr>
          <w:rFonts w:ascii="宋体" w:hAnsi="Courier New"/>
          <w:b/>
          <w:color w:val="auto"/>
          <w:szCs w:val="21"/>
          <w:highlight w:val="none"/>
        </w:rPr>
      </w:pPr>
      <w:r>
        <w:rPr>
          <w:rFonts w:hint="eastAsia" w:ascii="宋体" w:hAnsi="Courier New"/>
          <w:b/>
          <w:color w:val="auto"/>
          <w:szCs w:val="21"/>
          <w:highlight w:val="none"/>
        </w:rPr>
        <w:t xml:space="preserve">类似项目业绩一览表</w:t>
      </w:r>
      <w:r/>
    </w:p>
    <w:tbl>
      <w:tblPr>
        <w:tblStyle w:val="984"/>
        <w:tblW w:w="100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237"/>
        <w:gridCol w:w="1787"/>
        <w:gridCol w:w="1787"/>
        <w:gridCol w:w="2085"/>
        <w:gridCol w:w="1425"/>
      </w:tblGrid>
      <w:tr>
        <w:trPr>
          <w:jc w:val="center"/>
          <w:trHeight w:val="917"/>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合同名称</w:t>
            </w:r>
            <w:r/>
          </w:p>
        </w:tc>
        <w:tc>
          <w:tcPr>
            <w:tcW w:w="1787" w:type="dxa"/>
            <w:vAlign w:val="center"/>
            <w:textDirection w:val="lrTb"/>
            <w:noWrap w:val="false"/>
          </w:tcPr>
          <w:p>
            <w:pPr>
              <w:jc w:val="center"/>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业主单位</w:t>
            </w:r>
            <w:r/>
          </w:p>
        </w:tc>
        <w:tc>
          <w:tcPr>
            <w:tcW w:w="1787" w:type="dxa"/>
            <w:vAlign w:val="center"/>
            <w:textDirection w:val="lrTb"/>
            <w:noWrap w:val="false"/>
          </w:tcPr>
          <w:p>
            <w:pPr>
              <w:jc w:val="center"/>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项目时间</w:t>
            </w:r>
            <w:r/>
          </w:p>
        </w:tc>
        <w:tc>
          <w:tcPr>
            <w:tcW w:w="2085" w:type="dxa"/>
            <w:vAlign w:val="center"/>
            <w:textDirection w:val="lrTb"/>
            <w:noWrap w:val="false"/>
          </w:tcPr>
          <w:p>
            <w:pPr>
              <w:jc w:val="center"/>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1425" w:type="dxa"/>
            <w:vAlign w:val="center"/>
            <w:textDirection w:val="lrTb"/>
            <w:noWrap w:val="false"/>
          </w:tcPr>
          <w:p>
            <w:pPr>
              <w:jc w:val="center"/>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供应商：（公章）</w:t>
      </w:r>
      <w:r/>
    </w:p>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法定代表人或代理人：（签字或盖章）</w:t>
      </w:r>
      <w:r/>
    </w:p>
    <w:p>
      <w:pPr>
        <w:ind w:firstLine="525"/>
        <w:spacing w:line="360" w:lineRule="exact"/>
        <w:rPr>
          <w:rFonts w:ascii="宋体" w:hAnsi="Courier New"/>
          <w:color w:val="auto"/>
          <w:sz w:val="24"/>
          <w:highlight w:val="none"/>
        </w:rPr>
      </w:pPr>
      <w:r>
        <w:rPr>
          <w:rFonts w:hint="eastAsia" w:ascii="宋体" w:hAnsi="Courier New"/>
          <w:color w:val="auto"/>
          <w:szCs w:val="21"/>
          <w:highlight w:val="none"/>
        </w:rPr>
        <w:t xml:space="preserve">日期：</w:t>
      </w:r>
      <w:r>
        <w:rPr>
          <w:rFonts w:ascii="宋体" w:hAnsi="Courier New"/>
          <w:color w:val="auto"/>
          <w:szCs w:val="21"/>
          <w:highlight w:val="none"/>
        </w:rPr>
        <w:t xml:space="preserve">         </w:t>
      </w:r>
      <w:r>
        <w:rPr>
          <w:rFonts w:hint="eastAsia" w:ascii="宋体" w:hAnsi="Courier New"/>
          <w:color w:val="auto"/>
          <w:szCs w:val="21"/>
          <w:highlight w:val="none"/>
        </w:rPr>
        <w:t xml:space="preserve">年</w:t>
      </w:r>
      <w:r>
        <w:rPr>
          <w:rFonts w:ascii="宋体" w:hAnsi="Courier New"/>
          <w:color w:val="auto"/>
          <w:szCs w:val="21"/>
          <w:highlight w:val="none"/>
        </w:rPr>
        <w:t xml:space="preserve">     </w:t>
      </w:r>
      <w:r>
        <w:rPr>
          <w:rFonts w:hint="eastAsia" w:ascii="宋体" w:hAnsi="Courier New"/>
          <w:color w:val="auto"/>
          <w:szCs w:val="21"/>
          <w:highlight w:val="none"/>
        </w:rPr>
        <w:t xml:space="preserve">月</w:t>
      </w:r>
      <w:r>
        <w:rPr>
          <w:rFonts w:ascii="宋体" w:hAnsi="Courier New"/>
          <w:color w:val="auto"/>
          <w:szCs w:val="21"/>
          <w:highlight w:val="none"/>
        </w:rPr>
        <w:t xml:space="preserve">   </w:t>
      </w:r>
      <w:r>
        <w:rPr>
          <w:rFonts w:hint="eastAsia" w:ascii="宋体" w:hAnsi="Courier New"/>
          <w:color w:val="auto"/>
          <w:szCs w:val="21"/>
          <w:highlight w:val="none"/>
        </w:rPr>
        <w:t xml:space="preserve">日</w:t>
      </w:r>
      <w:r/>
    </w:p>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pStyle w:val="974"/>
        <w:rPr>
          <w:color w:val="auto"/>
          <w:highlight w:val="none"/>
        </w:rPr>
      </w:pPr>
      <w:r>
        <w:rPr>
          <w:color w:val="auto"/>
          <w:highlight w:val="none"/>
        </w:rPr>
      </w:r>
      <w:r/>
    </w:p>
    <w:p>
      <w:pPr>
        <w:pStyle w:val="994"/>
        <w:ind w:firstLine="0"/>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附件8、相关证明文件</w:t>
      </w:r>
      <w:r/>
    </w:p>
    <w:p>
      <w:pPr>
        <w:pStyle w:val="994"/>
        <w:ind w:firstLine="0"/>
        <w:jc w:val="both"/>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(1) 资格文件的声明函</w:t>
      </w:r>
      <w:r/>
    </w:p>
    <w:p>
      <w:pPr>
        <w:pStyle w:val="994"/>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94"/>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资格文件的声明函</w:t>
      </w:r>
      <w:r/>
    </w:p>
    <w:p>
      <w:pPr>
        <w:pStyle w:val="994"/>
        <w:ind w:firstLine="0"/>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pStyle w:val="994"/>
        <w:ind w:firstLine="66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pStyle w:val="994"/>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94"/>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法定代表人（签字或盖章）：</w:t>
      </w:r>
      <w:r/>
    </w:p>
    <w:p>
      <w:pPr>
        <w:pStyle w:val="994"/>
        <w:ind w:left="1700" w:firstLine="425"/>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供应商（公章）：</w:t>
      </w:r>
      <w:r/>
    </w:p>
    <w:p>
      <w:pPr>
        <w:pStyle w:val="994"/>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年</w:t>
      </w:r>
      <w:r>
        <w:rPr>
          <w:rFonts w:ascii="宋体" w:hAnsi="宋体" w:eastAsia="宋体"/>
          <w:color w:val="auto"/>
          <w:sz w:val="21"/>
          <w:szCs w:val="21"/>
          <w:highlight w:val="none"/>
        </w:rPr>
        <w:tab/>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月</w:t>
      </w:r>
      <w:r>
        <w:rPr>
          <w:rFonts w:ascii="宋体" w:hAnsi="宋体" w:eastAsia="宋体"/>
          <w:color w:val="auto"/>
          <w:sz w:val="21"/>
          <w:szCs w:val="21"/>
          <w:highlight w:val="none"/>
        </w:rPr>
        <w:t xml:space="preserve"> </w:t>
      </w:r>
      <w:r>
        <w:rPr>
          <w:rFonts w:ascii="宋体" w:hAnsi="宋体" w:eastAsia="宋体"/>
          <w:color w:val="auto"/>
          <w:sz w:val="21"/>
          <w:szCs w:val="21"/>
          <w:highlight w:val="none"/>
        </w:rPr>
        <w:tab/>
      </w:r>
      <w:r>
        <w:rPr>
          <w:rFonts w:hint="eastAsia" w:ascii="宋体" w:hAnsi="宋体" w:eastAsia="宋体"/>
          <w:color w:val="auto"/>
          <w:sz w:val="21"/>
          <w:szCs w:val="21"/>
          <w:highlight w:val="none"/>
        </w:rPr>
        <w:t xml:space="preserve">日</w:t>
      </w:r>
      <w:r/>
    </w:p>
    <w:p>
      <w:pPr>
        <w:pStyle w:val="994"/>
        <w:ind w:firstLine="0"/>
        <w:jc w:val="both"/>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994"/>
        <w:ind w:firstLine="0"/>
        <w:jc w:val="both"/>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br w:type="page" w:clear="all"/>
      </w:r>
      <w:r>
        <w:rPr>
          <w:rFonts w:hint="eastAsia" w:ascii="宋体" w:hAnsi="宋体" w:eastAsia="宋体"/>
          <w:b/>
          <w:color w:val="auto"/>
          <w:sz w:val="21"/>
          <w:szCs w:val="21"/>
          <w:highlight w:val="none"/>
        </w:rPr>
        <w:t xml:space="preserve">(2)供应商情况表</w:t>
      </w:r>
      <w:r/>
    </w:p>
    <w:p>
      <w:pPr>
        <w:pStyle w:val="994"/>
        <w:ind w:firstLine="0"/>
        <w:jc w:val="center"/>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供应商情况表</w:t>
      </w:r>
      <w:r/>
    </w:p>
    <w:p>
      <w:pPr>
        <w:pStyle w:val="994"/>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94"/>
        <w:jc w:val="both"/>
        <w:rPr>
          <w:rFonts w:hint="eastAsia" w:ascii="宋体" w:hAnsi="宋体" w:eastAsia="宋体"/>
          <w:b/>
          <w:color w:val="auto"/>
          <w:sz w:val="21"/>
          <w:szCs w:val="21"/>
          <w:highlight w:val="none"/>
        </w:rPr>
      </w:pPr>
      <w:r>
        <w:rPr>
          <w:rFonts w:hint="eastAsia" w:ascii="宋体" w:hAnsi="宋体" w:eastAsia="宋体"/>
          <w:color w:val="auto"/>
          <w:sz w:val="21"/>
          <w:szCs w:val="21"/>
          <w:highlight w:val="none"/>
        </w:rPr>
        <w:t xml:space="preserve">单位名称（盖章）</w:t>
      </w:r>
      <w:r/>
    </w:p>
    <w:tbl>
      <w:tblPr>
        <w:tblStyle w:val="984"/>
        <w:tblW w:w="907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tcW w:w="2268" w:type="dxa"/>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59" w:type="dxa"/>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tcW w:w="2694" w:type="dxa"/>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注册地址</w:t>
            </w:r>
            <w:r/>
          </w:p>
        </w:tc>
        <w:tc>
          <w:tcPr>
            <w:tcW w:w="2268" w:type="dxa"/>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59" w:type="dxa"/>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注册资金</w:t>
            </w:r>
            <w:r/>
          </w:p>
        </w:tc>
        <w:tc>
          <w:tcPr>
            <w:tcW w:w="2694" w:type="dxa"/>
            <w:textDirection w:val="lrTb"/>
            <w:noWrap w:val="false"/>
          </w:tcPr>
          <w:p>
            <w:pPr>
              <w:pStyle w:val="994"/>
              <w:ind w:firstLine="216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3"/>
            <w:tcW w:w="6521" w:type="dxa"/>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企业资质等级</w:t>
            </w:r>
            <w:r/>
          </w:p>
        </w:tc>
        <w:tc>
          <w:tcPr>
            <w:tcW w:w="2268" w:type="dxa"/>
            <w:vAlign w:val="bottom"/>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59" w:type="dxa"/>
            <w:vAlign w:val="center"/>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员工总人数</w:t>
            </w:r>
            <w:r/>
          </w:p>
        </w:tc>
        <w:tc>
          <w:tcPr>
            <w:tcW w:w="2694" w:type="dxa"/>
            <w:vAlign w:val="bottom"/>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2268" w:type="dxa"/>
            <w:vAlign w:val="bottom"/>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c>
          <w:tcPr>
            <w:tcW w:w="1559" w:type="dxa"/>
            <w:vAlign w:val="center"/>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营业收入</w:t>
            </w:r>
            <w:r/>
          </w:p>
        </w:tc>
        <w:tc>
          <w:tcPr>
            <w:tcW w:w="2694" w:type="dxa"/>
            <w:vAlign w:val="bottom"/>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tcW w:w="2268" w:type="dxa"/>
            <w:vAlign w:val="bottom"/>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c>
          <w:tcPr>
            <w:tcW w:w="1559" w:type="dxa"/>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营业面积（含厂房面积）</w:t>
            </w:r>
            <w:r/>
          </w:p>
        </w:tc>
        <w:tc>
          <w:tcPr>
            <w:tcW w:w="2694" w:type="dxa"/>
            <w:vAlign w:val="bottom"/>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平方米</w:t>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tc>
        <w:tc>
          <w:tcPr>
            <w:gridSpan w:val="3"/>
            <w:tcW w:w="6521" w:type="dxa"/>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tc>
        <w:tc>
          <w:tcPr>
            <w:gridSpan w:val="3"/>
            <w:tcW w:w="6521" w:type="dxa"/>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商业信誉和健全的财务会计制度介绍</w:t>
            </w:r>
            <w:r/>
          </w:p>
        </w:tc>
        <w:tc>
          <w:tcPr>
            <w:gridSpan w:val="3"/>
            <w:tcW w:w="6521" w:type="dxa"/>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履行合同所必需的设备和专业技术能力情况</w:t>
            </w:r>
            <w:r/>
          </w:p>
        </w:tc>
        <w:tc>
          <w:tcPr>
            <w:gridSpan w:val="3"/>
            <w:tcW w:w="6521" w:type="dxa"/>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依法缴纳税收和社会保障资金情况</w:t>
            </w:r>
            <w:r/>
          </w:p>
        </w:tc>
        <w:tc>
          <w:tcPr>
            <w:gridSpan w:val="3"/>
            <w:tcW w:w="6521" w:type="dxa"/>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参加政府采购活动前三年内，在经营活动中</w:t>
            </w:r>
            <w:r>
              <w:rPr>
                <w:rFonts w:hint="eastAsia" w:ascii="宋体" w:hAnsi="宋体" w:eastAsia="宋体"/>
                <w:color w:val="auto"/>
                <w:sz w:val="21"/>
                <w:szCs w:val="21"/>
                <w:highlight w:val="none"/>
              </w:rPr>
              <w:t xml:space="preserve">有无</w:t>
            </w:r>
            <w:r>
              <w:rPr>
                <w:rFonts w:ascii="宋体" w:hAnsi="宋体" w:eastAsia="宋体"/>
                <w:color w:val="auto"/>
                <w:sz w:val="21"/>
                <w:szCs w:val="21"/>
                <w:highlight w:val="none"/>
              </w:rPr>
              <w:t xml:space="preserve">重大违法记录</w:t>
            </w:r>
            <w:r/>
          </w:p>
        </w:tc>
        <w:tc>
          <w:tcPr>
            <w:gridSpan w:val="3"/>
            <w:tcW w:w="6521" w:type="dxa"/>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3"/>
            <w:tcW w:w="6521" w:type="dxa"/>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单位开票资料及</w:t>
            </w:r>
            <w:r/>
          </w:p>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数字人民币账户</w:t>
            </w:r>
            <w:r/>
          </w:p>
        </w:tc>
        <w:tc>
          <w:tcPr>
            <w:gridSpan w:val="3"/>
            <w:tcW w:w="6521" w:type="dxa"/>
            <w:textDirection w:val="lrTb"/>
            <w:noWrap w:val="false"/>
          </w:tcPr>
          <w:p>
            <w:pPr>
              <w:pStyle w:val="99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spacing w:before="100" w:beforeAutospacing="1" w:after="100" w:afterAutospacing="1" w:line="360" w:lineRule="auto"/>
        <w:rPr>
          <w:rFonts w:hint="eastAsia" w:ascii="宋体" w:hAnsi="宋体"/>
          <w:color w:val="auto"/>
          <w:highlight w:val="none"/>
        </w:rPr>
      </w:pPr>
      <w:r>
        <w:rPr>
          <w:rFonts w:hint="eastAsia" w:ascii="宋体" w:hAnsi="宋体"/>
          <w:color w:val="auto"/>
          <w:highlight w:val="none"/>
        </w:rPr>
      </w:r>
      <w:r/>
    </w:p>
    <w:p>
      <w:pPr>
        <w:rPr>
          <w:rFonts w:hint="eastAsia" w:ascii="宋体" w:hAnsi="宋体"/>
          <w:b/>
          <w:color w:val="auto"/>
          <w:szCs w:val="21"/>
          <w:highlight w:val="none"/>
        </w:rPr>
      </w:pPr>
      <w:r>
        <w:rPr>
          <w:rFonts w:ascii="宋体" w:hAnsi="宋体"/>
          <w:color w:val="auto"/>
          <w:highlight w:val="none"/>
        </w:rPr>
        <w:br w:type="page" w:clear="all"/>
      </w:r>
      <w:r>
        <w:rPr>
          <w:rFonts w:hint="eastAsia" w:ascii="宋体" w:hAnsi="宋体"/>
          <w:b/>
          <w:color w:val="auto"/>
          <w:szCs w:val="21"/>
          <w:highlight w:val="none"/>
        </w:rPr>
        <w:t xml:space="preserve">（3）中小企业声明函</w:t>
      </w:r>
      <w:r/>
    </w:p>
    <w:p>
      <w:pPr>
        <w:jc w:val="center"/>
        <w:spacing w:before="100" w:beforeAutospacing="1" w:after="100" w:afterAutospacing="1" w:line="360" w:lineRule="auto"/>
        <w:rPr>
          <w:b/>
          <w:color w:val="auto"/>
          <w:highlight w:val="none"/>
        </w:rPr>
      </w:pPr>
      <w:r>
        <w:rPr>
          <w:rFonts w:hint="eastAsia"/>
          <w:b/>
          <w:color w:val="auto"/>
          <w:highlight w:val="none"/>
        </w:rPr>
        <w:t xml:space="preserve">中小企业声明函（服务类）</w:t>
      </w:r>
      <w:r/>
    </w:p>
    <w:p>
      <w:pPr>
        <w:ind w:firstLine="420"/>
        <w:spacing w:line="480" w:lineRule="auto"/>
        <w:rPr>
          <w:rFonts w:hint="eastAsia" w:ascii="宋体" w:hAnsi="宋体" w:cs="宋体"/>
          <w:bCs/>
          <w:color w:val="auto"/>
          <w:highlight w:val="none"/>
        </w:rPr>
      </w:pPr>
      <w:r>
        <w:rPr>
          <w:rFonts w:hint="eastAsia" w:ascii="宋体" w:hAnsi="宋体" w:cs="宋体"/>
          <w:bCs/>
          <w:color w:val="auto"/>
          <w:highlight w:val="none"/>
        </w:rPr>
        <w:t xml:space="preserve">本公司郑重声明，根据《政府采购促进中小企业发展管理办法》（财库﹝2020﹞46号）的规定，本公司参加</w:t>
      </w:r>
      <w:r>
        <w:rPr>
          <w:rFonts w:hint="eastAsia" w:ascii="宋体" w:hAnsi="宋体" w:cs="宋体"/>
          <w:bCs/>
          <w:color w:val="auto"/>
          <w:highlight w:val="none"/>
          <w:u w:val="single"/>
        </w:rPr>
        <w:t xml:space="preserve">（单位名称）</w:t>
      </w:r>
      <w:r>
        <w:rPr>
          <w:rFonts w:hint="eastAsia" w:ascii="宋体" w:hAnsi="宋体" w:cs="宋体"/>
          <w:bCs/>
          <w:color w:val="auto"/>
          <w:highlight w:val="none"/>
        </w:rPr>
        <w:t xml:space="preserve">的</w:t>
      </w:r>
      <w:r>
        <w:rPr>
          <w:rFonts w:hint="eastAsia" w:ascii="宋体" w:hAnsi="宋体" w:cs="宋体"/>
          <w:bCs/>
          <w:color w:val="auto"/>
          <w:highlight w:val="none"/>
          <w:u w:val="single"/>
        </w:rPr>
        <w:t xml:space="preserve">（项目名称）</w:t>
      </w:r>
      <w:r>
        <w:rPr>
          <w:rFonts w:hint="eastAsia" w:ascii="宋体" w:hAnsi="宋体" w:cs="宋体"/>
          <w:bCs/>
          <w:color w:val="auto"/>
          <w:highlight w:val="none"/>
        </w:rPr>
        <w:t xml:space="preserve">采购活动，服务全部由符合政策要求的中小企业承接。企业的具体情况如下： </w:t>
      </w:r>
      <w:r/>
    </w:p>
    <w:p>
      <w:pPr>
        <w:ind w:firstLine="420"/>
        <w:spacing w:line="480" w:lineRule="auto"/>
        <w:rPr>
          <w:bCs/>
          <w:color w:val="auto"/>
          <w:highlight w:val="none"/>
        </w:rPr>
      </w:pPr>
      <w:r>
        <w:rPr>
          <w:rFonts w:hint="eastAsia"/>
          <w:bCs/>
          <w:color w:val="auto"/>
          <w:highlight w:val="none"/>
          <w:u w:val="single"/>
        </w:rPr>
        <w:t xml:space="preserve">（标的名称）</w:t>
      </w:r>
      <w:r>
        <w:rPr>
          <w:rFonts w:hint="eastAsia"/>
          <w:bCs/>
          <w:color w:val="auto"/>
          <w:highlight w:val="none"/>
        </w:rPr>
        <w:t xml:space="preserve">，属于</w:t>
      </w:r>
      <w:r>
        <w:rPr>
          <w:rFonts w:hint="eastAsia"/>
          <w:bCs/>
          <w:color w:val="auto"/>
          <w:highlight w:val="none"/>
          <w:u w:val="single"/>
        </w:rPr>
        <w:t xml:space="preserve"> 其他未列明行业</w:t>
      </w:r>
      <w:r>
        <w:rPr>
          <w:rFonts w:hint="eastAsia"/>
          <w:bCs/>
          <w:color w:val="auto"/>
          <w:highlight w:val="none"/>
        </w:rPr>
        <w:t xml:space="preserve">；承接企业为</w:t>
      </w:r>
      <w:r>
        <w:rPr>
          <w:rFonts w:hint="eastAsia"/>
          <w:bCs/>
          <w:color w:val="auto"/>
          <w:highlight w:val="none"/>
          <w:u w:val="single"/>
        </w:rPr>
        <w:t xml:space="preserve">（企业名称）</w:t>
      </w:r>
      <w:r>
        <w:rPr>
          <w:rFonts w:hint="eastAsia"/>
          <w:bCs/>
          <w:color w:val="auto"/>
          <w:highlight w:val="none"/>
        </w:rPr>
        <w:t xml:space="preserve">，从业人员</w:t>
      </w:r>
      <w:r>
        <w:rPr>
          <w:rFonts w:hint="eastAsia"/>
          <w:bCs/>
          <w:color w:val="auto"/>
          <w:highlight w:val="none"/>
          <w:u w:val="single"/>
        </w:rPr>
        <w:t xml:space="preserve">   </w:t>
      </w:r>
      <w:r>
        <w:rPr>
          <w:rFonts w:hint="eastAsia"/>
          <w:bCs/>
          <w:color w:val="auto"/>
          <w:highlight w:val="none"/>
        </w:rPr>
        <w:t xml:space="preserve">人，营业收入为</w:t>
      </w:r>
      <w:r>
        <w:rPr>
          <w:rFonts w:hint="eastAsia"/>
          <w:bCs/>
          <w:color w:val="auto"/>
          <w:highlight w:val="none"/>
          <w:u w:val="single"/>
        </w:rPr>
        <w:t xml:space="preserve">   </w:t>
      </w:r>
      <w:r>
        <w:rPr>
          <w:rFonts w:hint="eastAsia"/>
          <w:bCs/>
          <w:color w:val="auto"/>
          <w:highlight w:val="none"/>
        </w:rPr>
        <w:t xml:space="preserve">万元，资产总额为</w:t>
      </w:r>
      <w:r>
        <w:rPr>
          <w:rFonts w:hint="eastAsia"/>
          <w:bCs/>
          <w:color w:val="auto"/>
          <w:highlight w:val="none"/>
          <w:u w:val="single"/>
        </w:rPr>
        <w:t xml:space="preserve">    </w:t>
      </w:r>
      <w:r>
        <w:rPr>
          <w:rFonts w:hint="eastAsia"/>
          <w:bCs/>
          <w:color w:val="auto"/>
          <w:highlight w:val="none"/>
        </w:rPr>
        <w:t xml:space="preserve">万元，属于</w:t>
      </w:r>
      <w:r>
        <w:rPr>
          <w:rFonts w:hint="eastAsia"/>
          <w:bCs/>
          <w:color w:val="auto"/>
          <w:highlight w:val="none"/>
          <w:u w:val="single"/>
        </w:rPr>
        <w:t xml:space="preserve">（中型企业、小型企业、微型企业，</w:t>
      </w:r>
      <w:r>
        <w:rPr>
          <w:rFonts w:hint="eastAsia"/>
          <w:b/>
          <w:color w:val="auto"/>
          <w:highlight w:val="none"/>
          <w:u w:val="single"/>
        </w:rPr>
        <w:t xml:space="preserve">选择一类填写</w:t>
      </w:r>
      <w:r>
        <w:rPr>
          <w:rFonts w:hint="eastAsia"/>
          <w:bCs/>
          <w:color w:val="auto"/>
          <w:highlight w:val="none"/>
          <w:u w:val="single"/>
        </w:rPr>
        <w:t xml:space="preserve">）</w:t>
      </w:r>
      <w:r>
        <w:rPr>
          <w:rFonts w:hint="eastAsia"/>
          <w:bCs/>
          <w:color w:val="auto"/>
          <w:highlight w:val="none"/>
        </w:rPr>
        <w:t xml:space="preserve">； </w:t>
      </w:r>
      <w:r/>
    </w:p>
    <w:p>
      <w:pPr>
        <w:ind w:firstLine="420"/>
        <w:spacing w:line="480" w:lineRule="auto"/>
        <w:rPr>
          <w:bCs/>
          <w:color w:val="auto"/>
          <w:highlight w:val="none"/>
        </w:rPr>
      </w:pPr>
      <w:r>
        <w:rPr>
          <w:rFonts w:hint="eastAsia"/>
          <w:bCs/>
          <w:color w:val="auto"/>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80" w:lineRule="auto"/>
        <w:rPr>
          <w:bCs/>
          <w:color w:val="auto"/>
          <w:highlight w:val="none"/>
        </w:rPr>
      </w:pPr>
      <w:r>
        <w:rPr>
          <w:rFonts w:hint="eastAsia"/>
          <w:bCs/>
          <w:color w:val="auto"/>
          <w:highlight w:val="none"/>
        </w:rPr>
        <w:t xml:space="preserve">                                                          企业名称（盖章）： </w:t>
      </w:r>
      <w:r/>
    </w:p>
    <w:p>
      <w:pPr>
        <w:spacing w:line="480" w:lineRule="auto"/>
        <w:rPr>
          <w:bCs/>
          <w:color w:val="auto"/>
          <w:highlight w:val="none"/>
        </w:rPr>
      </w:pPr>
      <w:r>
        <w:rPr>
          <w:rFonts w:hint="eastAsia"/>
          <w:bCs/>
          <w:color w:val="auto"/>
          <w:highlight w:val="none"/>
        </w:rPr>
        <w:t xml:space="preserve">                                                            日 期：</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（4）残疾人福利性单位声明函</w:t>
      </w:r>
      <w:r/>
    </w:p>
    <w:p>
      <w:pPr>
        <w:jc w:val="center"/>
        <w:spacing w:line="480" w:lineRule="exact"/>
        <w:rPr>
          <w:rFonts w:hint="eastAsia" w:ascii="宋体" w:hAnsi="宋体"/>
          <w:color w:val="auto"/>
          <w:spacing w:val="6"/>
          <w:sz w:val="44"/>
          <w:szCs w:val="32"/>
          <w:highlight w:val="none"/>
        </w:rPr>
      </w:pPr>
      <w:r>
        <w:rPr>
          <w:rFonts w:hint="eastAsia" w:ascii="宋体" w:hAnsi="宋体"/>
          <w:color w:val="auto"/>
          <w:szCs w:val="21"/>
          <w:highlight w:val="none"/>
          <w:lang w:val="zh-CN"/>
        </w:rPr>
        <w:t xml:space="preserve">残疾人福利性单位声明函</w:t>
      </w:r>
      <w:r/>
    </w:p>
    <w:p>
      <w:pPr>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44"/>
        <w:spacing w:line="580" w:lineRule="exact"/>
        <w:rPr>
          <w:rFonts w:hint="eastAsia" w:ascii="宋体" w:hAnsi="宋体"/>
          <w:color w:val="auto"/>
          <w:spacing w:val="6"/>
          <w:szCs w:val="21"/>
          <w:highlight w:val="none"/>
        </w:rPr>
      </w:pPr>
      <w:r>
        <w:rPr>
          <w:rFonts w:hint="eastAsia" w:ascii="宋体" w:hAnsi="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olor w:val="auto"/>
          <w:szCs w:val="21"/>
          <w:highlight w:val="none"/>
        </w:rPr>
        <w:t xml:space="preserve">〔2017〕141</w:t>
      </w:r>
      <w:r>
        <w:rPr>
          <w:rFonts w:hint="eastAsia" w:ascii="宋体" w:hAnsi="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olor w:val="auto"/>
          <w:spacing w:val="6"/>
          <w:szCs w:val="21"/>
          <w:highlight w:val="none"/>
        </w:rPr>
      </w:pPr>
      <w:r>
        <w:rPr>
          <w:rFonts w:hint="eastAsia" w:ascii="宋体" w:hAnsi="宋体"/>
          <w:color w:val="auto"/>
          <w:spacing w:val="6"/>
          <w:szCs w:val="21"/>
          <w:highlight w:val="none"/>
        </w:rPr>
        <w:t xml:space="preserve">本单位对上述声明的真实性负责。如有虚假，将依法承担相应责任。</w:t>
      </w:r>
      <w:r/>
    </w:p>
    <w:p>
      <w:pPr>
        <w:ind w:firstLine="444"/>
        <w:spacing w:line="580" w:lineRule="exact"/>
        <w:rPr>
          <w:rFonts w:hint="eastAsia" w:ascii="宋体" w:hAnsi="宋体"/>
          <w:color w:val="auto"/>
          <w:spacing w:val="6"/>
          <w:szCs w:val="21"/>
          <w:highlight w:val="none"/>
        </w:rPr>
      </w:pPr>
      <w:r>
        <w:rPr>
          <w:rFonts w:hint="eastAsia" w:ascii="宋体" w:hAnsi="宋体"/>
          <w:color w:val="auto"/>
          <w:spacing w:val="6"/>
          <w:szCs w:val="21"/>
          <w:highlight w:val="none"/>
        </w:rPr>
      </w:r>
      <w:r/>
    </w:p>
    <w:p>
      <w:pPr>
        <w:ind w:right="1560" w:firstLine="444"/>
        <w:jc w:val="center"/>
        <w:spacing w:line="580" w:lineRule="exact"/>
        <w:tabs>
          <w:tab w:val="left" w:pos="4860" w:leader="none"/>
        </w:tabs>
        <w:rPr>
          <w:rFonts w:hint="eastAsia" w:ascii="宋体" w:hAnsi="宋体"/>
          <w:color w:val="auto"/>
          <w:spacing w:val="6"/>
          <w:szCs w:val="21"/>
          <w:highlight w:val="none"/>
        </w:rPr>
      </w:pPr>
      <w:r>
        <w:rPr>
          <w:rFonts w:hint="eastAsia" w:ascii="宋体" w:hAnsi="宋体"/>
          <w:color w:val="auto"/>
          <w:spacing w:val="6"/>
          <w:szCs w:val="21"/>
          <w:highlight w:val="none"/>
        </w:rPr>
        <w:t xml:space="preserve">                单位名称（盖章）：</w:t>
      </w:r>
      <w:r/>
    </w:p>
    <w:p>
      <w:pPr>
        <w:spacing w:line="360" w:lineRule="auto"/>
        <w:rPr>
          <w:rFonts w:hint="eastAsia" w:ascii="宋体" w:hAnsi="宋体"/>
          <w:color w:val="auto"/>
          <w:spacing w:val="6"/>
          <w:szCs w:val="21"/>
          <w:highlight w:val="none"/>
        </w:rPr>
      </w:pPr>
      <w:r>
        <w:rPr>
          <w:rFonts w:hint="eastAsia" w:ascii="宋体" w:hAnsi="宋体"/>
          <w:color w:val="auto"/>
          <w:spacing w:val="6"/>
          <w:szCs w:val="21"/>
          <w:highlight w:val="none"/>
        </w:rPr>
        <w:t xml:space="preserve">                                      日  期：</w:t>
      </w:r>
      <w:r/>
    </w:p>
    <w:p>
      <w:pPr>
        <w:spacing w:line="360" w:lineRule="auto"/>
        <w:rPr>
          <w:b/>
          <w:bCs/>
          <w:color w:val="auto"/>
          <w:szCs w:val="21"/>
          <w:highlight w:val="none"/>
        </w:rPr>
      </w:pPr>
      <w:r>
        <w:rPr>
          <w:rFonts w:ascii="宋体" w:hAnsi="宋体"/>
          <w:color w:val="auto"/>
          <w:spacing w:val="6"/>
          <w:szCs w:val="21"/>
          <w:highlight w:val="none"/>
        </w:rPr>
        <w:br w:type="page" w:clear="all"/>
      </w:r>
      <w:r>
        <w:rPr>
          <w:rFonts w:ascii="宋体" w:hAnsi="宋体"/>
          <w:b/>
          <w:color w:val="auto"/>
          <w:spacing w:val="6"/>
          <w:szCs w:val="21"/>
          <w:highlight w:val="none"/>
        </w:rPr>
        <w:t xml:space="preserve">附件</w:t>
      </w:r>
      <w:r>
        <w:rPr>
          <w:rFonts w:hint="eastAsia" w:ascii="宋体" w:hAnsi="宋体"/>
          <w:b/>
          <w:color w:val="auto"/>
          <w:spacing w:val="6"/>
          <w:szCs w:val="21"/>
          <w:highlight w:val="none"/>
        </w:rPr>
        <w:t xml:space="preserve">9、</w:t>
      </w:r>
      <w:r>
        <w:rPr>
          <w:rFonts w:hint="eastAsia"/>
          <w:b/>
          <w:bCs/>
          <w:color w:val="auto"/>
          <w:szCs w:val="21"/>
          <w:highlight w:val="none"/>
        </w:rPr>
        <w:t xml:space="preserve">投标（响应）保证承诺书</w:t>
      </w:r>
      <w:r/>
    </w:p>
    <w:p>
      <w:pPr>
        <w:jc w:val="center"/>
        <w:spacing w:line="400" w:lineRule="exact"/>
        <w:rPr>
          <w:b/>
          <w:color w:val="auto"/>
          <w:szCs w:val="21"/>
          <w:highlight w:val="none"/>
        </w:rPr>
      </w:pPr>
      <w:r>
        <w:rPr>
          <w:rFonts w:hint="eastAsia"/>
          <w:b/>
          <w:color w:val="auto"/>
          <w:szCs w:val="21"/>
          <w:highlight w:val="none"/>
        </w:rPr>
        <w:t xml:space="preserve">投标（响应）保证承诺书</w:t>
      </w:r>
      <w:r/>
    </w:p>
    <w:p>
      <w:pPr>
        <w:jc w:val="left"/>
        <w:spacing w:line="360" w:lineRule="auto"/>
        <w:widowControl/>
        <w:rPr>
          <w:rFonts w:cs="宋体"/>
          <w:color w:val="auto"/>
          <w:szCs w:val="21"/>
          <w:highlight w:val="none"/>
        </w:rPr>
      </w:pPr>
      <w:r>
        <w:rPr>
          <w:rFonts w:cs="宋体"/>
          <w:color w:val="auto"/>
          <w:szCs w:val="21"/>
          <w:highlight w:val="none"/>
        </w:rPr>
      </w:r>
      <w:r/>
    </w:p>
    <w:p>
      <w:pPr>
        <w:jc w:val="left"/>
        <w:spacing w:line="520" w:lineRule="exact"/>
        <w:widowControl/>
        <w:rPr>
          <w:rFonts w:cs="宋体"/>
          <w:color w:val="auto"/>
          <w:szCs w:val="21"/>
          <w:highlight w:val="none"/>
        </w:rPr>
      </w:pPr>
      <w:r>
        <w:rPr>
          <w:rFonts w:hint="eastAsia" w:cs="宋体"/>
          <w:color w:val="auto"/>
          <w:szCs w:val="21"/>
          <w:highlight w:val="none"/>
        </w:rPr>
        <w:t xml:space="preserve">致：</w:t>
      </w:r>
      <w:r>
        <w:rPr>
          <w:rFonts w:hint="eastAsia" w:cs="宋体"/>
          <w:color w:val="auto"/>
          <w:szCs w:val="21"/>
          <w:highlight w:val="none"/>
          <w:u w:val="single"/>
        </w:rPr>
        <w:t xml:space="preserve">         （采购代理机构名称）</w:t>
      </w:r>
      <w:r/>
    </w:p>
    <w:p>
      <w:pPr>
        <w:ind w:firstLine="420"/>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numPr>
          <w:ilvl w:val="0"/>
          <w:numId w:val="70"/>
        </w:numPr>
        <w:ind w:left="431" w:hanging="431"/>
        <w:jc w:val="left"/>
        <w:spacing w:line="520" w:lineRule="exact"/>
        <w:widowControl/>
        <w:tabs>
          <w:tab w:val="left" w:pos="42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numPr>
          <w:ilvl w:val="0"/>
          <w:numId w:val="71"/>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自投标（响应）截止时间至本项目发布中标（成交）公告为止，撤销投标（响应）；</w:t>
      </w:r>
      <w:r/>
    </w:p>
    <w:p>
      <w:pPr>
        <w:numPr>
          <w:ilvl w:val="0"/>
          <w:numId w:val="71"/>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中标（成交）后不依法与采购人签订合同；</w:t>
      </w:r>
      <w:r/>
    </w:p>
    <w:p>
      <w:pPr>
        <w:numPr>
          <w:ilvl w:val="0"/>
          <w:numId w:val="71"/>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中标（成交）后不按本采购文件规定向采购人提交履约保证金；</w:t>
      </w:r>
      <w:r/>
    </w:p>
    <w:p>
      <w:pPr>
        <w:numPr>
          <w:ilvl w:val="0"/>
          <w:numId w:val="71"/>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中标（成交）后不按本采购文件规定向贵方缴纳采购代理费。</w:t>
      </w:r>
      <w:r/>
    </w:p>
    <w:p>
      <w:pPr>
        <w:numPr>
          <w:ilvl w:val="0"/>
          <w:numId w:val="70"/>
        </w:numPr>
        <w:ind w:left="431" w:hanging="431"/>
        <w:jc w:val="left"/>
        <w:spacing w:line="520" w:lineRule="exact"/>
        <w:widowControl/>
        <w:tabs>
          <w:tab w:val="left" w:pos="42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我单位知晓上述行为的法律后果，承认本承诺书作为贵方（或采购人）要求我单位履行违约赔偿义务的依据作用。</w:t>
      </w:r>
      <w:r/>
    </w:p>
    <w:p>
      <w:p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4"/>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投标（响应）人：（盖公章）</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地址：</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电话：</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传真：</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电子邮件：</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邮编：</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法定代表人或委托代理人(签字或签章)：</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日期：</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widowControl/>
        <w:rPr>
          <w:rFonts w:hint="eastAsia" w:ascii="宋体" w:hAnsi="宋体"/>
          <w:b/>
          <w:color w:val="auto"/>
          <w:szCs w:val="21"/>
          <w:highlight w:val="none"/>
          <w:shd w:val="clear" w:color="auto" w:fill="ffffff"/>
        </w:rPr>
      </w:pPr>
      <w:r>
        <w:rPr>
          <w:rFonts w:ascii="宋体" w:hAnsi="宋体"/>
          <w:b/>
          <w:color w:val="auto"/>
          <w:spacing w:val="6"/>
          <w:szCs w:val="21"/>
          <w:highlight w:val="none"/>
        </w:rPr>
        <w:t xml:space="preserve">附件</w:t>
      </w:r>
      <w:r>
        <w:rPr>
          <w:rFonts w:hint="eastAsia" w:ascii="宋体" w:hAnsi="宋体"/>
          <w:b/>
          <w:color w:val="auto"/>
          <w:spacing w:val="6"/>
          <w:szCs w:val="21"/>
          <w:highlight w:val="none"/>
        </w:rPr>
        <w:t xml:space="preserve">10、</w:t>
      </w:r>
      <w:r/>
    </w:p>
    <w:p>
      <w:pPr>
        <w:jc w:val="center"/>
        <w:spacing w:line="360" w:lineRule="auto"/>
        <w:widowControl/>
        <w:rPr>
          <w:rFonts w:hint="eastAsia"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响应单位与其他单位存在控股、管理关系情况表</w:t>
      </w:r>
      <w:r/>
    </w:p>
    <w:tbl>
      <w:tblPr>
        <w:tblStyle w:val="984"/>
        <w:tblW w:w="104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jc w:val="center"/>
          <w:trHeight w:val="567"/>
        </w:trPr>
        <w:tc>
          <w:tcPr>
            <w:gridSpan w:val="4"/>
            <w:tcW w:w="634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与</w:t>
            </w:r>
            <w:r>
              <w:rPr>
                <w:rFonts w:hint="eastAsia" w:ascii="宋体" w:hAnsi="宋体"/>
                <w:b/>
                <w:color w:val="auto"/>
                <w:szCs w:val="21"/>
                <w:highlight w:val="none"/>
                <w:shd w:val="clear" w:color="auto" w:fill="ffffff"/>
              </w:rPr>
              <w:t xml:space="preserve">响应单位</w:t>
            </w:r>
            <w:r>
              <w:rPr>
                <w:rFonts w:hint="eastAsia" w:ascii="宋体" w:hAnsi="宋体"/>
                <w:b/>
                <w:color w:val="auto"/>
                <w:szCs w:val="21"/>
                <w:highlight w:val="none"/>
              </w:rPr>
              <w:t xml:space="preserve">存在直接股权关系</w:t>
            </w:r>
            <w:r/>
          </w:p>
        </w:tc>
        <w:tc>
          <w:tcPr>
            <w:gridSpan w:val="3"/>
            <w:tcW w:w="406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与</w:t>
            </w:r>
            <w:r>
              <w:rPr>
                <w:rFonts w:hint="eastAsia" w:ascii="宋体" w:hAnsi="宋体"/>
                <w:b/>
                <w:color w:val="auto"/>
                <w:szCs w:val="21"/>
                <w:highlight w:val="none"/>
                <w:shd w:val="clear" w:color="auto" w:fill="ffffff"/>
              </w:rPr>
              <w:t xml:space="preserve">响应单位</w:t>
            </w:r>
            <w:r>
              <w:rPr>
                <w:rFonts w:hint="eastAsia" w:ascii="宋体" w:hAnsi="宋体"/>
                <w:b/>
                <w:color w:val="auto"/>
                <w:szCs w:val="21"/>
                <w:highlight w:val="none"/>
              </w:rPr>
              <w:t xml:space="preserve">存在直接管理关系</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单位名称</w:t>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（填写“是”或 “否”）</w:t>
            </w:r>
            <w:r/>
          </w:p>
        </w:tc>
        <w:tc>
          <w:tcPr>
            <w:tcW w:w="1506" w:type="dxa"/>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是否直接控股</w:t>
            </w:r>
            <w:r/>
          </w:p>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（填写“是”或 “否”）</w:t>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直接控股关系情况说明（持股比例等）</w:t>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单位名称</w:t>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（填写“是”或 “否”）</w:t>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直接管理关系情况说明</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bl>
    <w:p>
      <w:pPr>
        <w:ind w:firstLine="566"/>
        <w:spacing w:line="360" w:lineRule="auto"/>
        <w:rPr>
          <w:rFonts w:hint="eastAsia" w:ascii="宋体" w:hAnsi="宋体"/>
          <w:b/>
          <w:color w:val="auto"/>
          <w:szCs w:val="21"/>
          <w:highlight w:val="none"/>
        </w:rPr>
        <w:outlineLvl w:val="1"/>
      </w:pPr>
      <w:r>
        <w:rPr>
          <w:rFonts w:hint="eastAsia" w:ascii="宋体" w:hAnsi="宋体"/>
          <w:b/>
          <w:color w:val="auto"/>
          <w:szCs w:val="21"/>
          <w:highlight w:val="none"/>
        </w:rPr>
        <w:t xml:space="preserve">注：1、本表仅须填写与</w:t>
      </w:r>
      <w:r>
        <w:rPr>
          <w:rFonts w:hint="eastAsia" w:ascii="宋体" w:hAnsi="宋体"/>
          <w:b/>
          <w:color w:val="auto"/>
          <w:szCs w:val="21"/>
          <w:highlight w:val="none"/>
          <w:lang w:eastAsia="zh-CN"/>
        </w:rPr>
        <w:t xml:space="preserve">响应单位</w:t>
      </w:r>
      <w:r>
        <w:rPr>
          <w:rFonts w:hint="eastAsia" w:ascii="宋体" w:hAnsi="宋体"/>
          <w:b/>
          <w:color w:val="auto"/>
          <w:szCs w:val="21"/>
          <w:highlight w:val="none"/>
        </w:rPr>
        <w:t xml:space="preserve">存在直接股权、管理关系的企业情况。</w:t>
      </w:r>
      <w:r>
        <w:rPr>
          <w:rFonts w:hint="eastAsia" w:ascii="宋体" w:hAnsi="宋体"/>
          <w:b/>
          <w:color w:val="auto"/>
          <w:szCs w:val="21"/>
          <w:highlight w:val="none"/>
          <w:lang w:eastAsia="zh-CN"/>
        </w:rPr>
        <w:t xml:space="preserve">响应单位</w:t>
      </w:r>
      <w:r>
        <w:rPr>
          <w:rFonts w:hint="eastAsia" w:ascii="宋体" w:hAnsi="宋体"/>
          <w:b/>
          <w:color w:val="auto"/>
          <w:szCs w:val="21"/>
          <w:highlight w:val="none"/>
        </w:rPr>
        <w:t xml:space="preserve">应按上表要求据实填写，如填写“无”或不填写，均视为</w:t>
      </w:r>
      <w:r>
        <w:rPr>
          <w:rFonts w:hint="eastAsia" w:ascii="宋体" w:hAnsi="宋体"/>
          <w:b/>
          <w:color w:val="auto"/>
          <w:szCs w:val="21"/>
          <w:highlight w:val="none"/>
          <w:lang w:eastAsia="zh-CN"/>
        </w:rPr>
        <w:t xml:space="preserve">响应单位</w:t>
      </w:r>
      <w:r>
        <w:rPr>
          <w:rFonts w:hint="eastAsia" w:ascii="宋体" w:hAnsi="宋体"/>
          <w:b/>
          <w:color w:val="auto"/>
          <w:szCs w:val="21"/>
          <w:highlight w:val="none"/>
        </w:rPr>
        <w:t xml:space="preserve">声明不存在有关情形。</w:t>
      </w:r>
      <w:r/>
    </w:p>
    <w:p>
      <w:pPr>
        <w:ind w:firstLine="566"/>
        <w:spacing w:after="120" w:line="360" w:lineRule="auto"/>
        <w:rPr>
          <w:rFonts w:hint="eastAsia" w:ascii="宋体" w:hAnsi="宋体"/>
          <w:b/>
          <w:color w:val="auto"/>
          <w:szCs w:val="21"/>
          <w:highlight w:val="none"/>
        </w:rPr>
      </w:pPr>
      <w:r>
        <w:rPr>
          <w:rFonts w:hint="eastAsia" w:ascii="宋体" w:hAnsi="宋体"/>
          <w:b/>
          <w:color w:val="auto"/>
          <w:szCs w:val="21"/>
          <w:highlight w:val="none"/>
        </w:rPr>
        <w:t xml:space="preserve">2、其中“直接控股”是指</w:t>
      </w:r>
      <w:r>
        <w:rPr>
          <w:rFonts w:hint="eastAsia" w:ascii="宋体" w:hAnsi="宋体"/>
          <w:b/>
          <w:color w:val="auto"/>
          <w:szCs w:val="21"/>
          <w:highlight w:val="none"/>
          <w:lang w:eastAsia="zh-CN"/>
        </w:rPr>
        <w:t xml:space="preserve">响应单位</w:t>
      </w:r>
      <w:r>
        <w:rPr>
          <w:rFonts w:hint="eastAsia" w:ascii="宋体" w:hAnsi="宋体"/>
          <w:b/>
          <w:color w:val="auto"/>
          <w:szCs w:val="21"/>
          <w:highlight w:val="none"/>
        </w:rPr>
        <w:t xml:space="preserve">与大型企业之间存在直接投资并控股（非普通持股）的关系。</w:t>
      </w:r>
      <w:r/>
    </w:p>
    <w:p>
      <w:pPr>
        <w:rPr>
          <w:rFonts w:hint="eastAsia" w:ascii="宋体" w:hAnsi="宋体"/>
          <w:b/>
          <w:color w:val="auto"/>
          <w:szCs w:val="21"/>
          <w:highlight w:val="none"/>
        </w:rPr>
      </w:pPr>
      <w:r>
        <w:rPr>
          <w:rFonts w:hint="eastAsia" w:ascii="宋体" w:hAnsi="宋体"/>
          <w:b/>
          <w:color w:val="auto"/>
          <w:szCs w:val="21"/>
          <w:highlight w:val="none"/>
        </w:rPr>
      </w:r>
      <w:r/>
    </w:p>
    <w:p>
      <w:pPr>
        <w:pStyle w:val="994"/>
        <w:ind w:firstLine="0"/>
        <w:spacing w:line="400" w:lineRule="exact"/>
        <w:rPr>
          <w:rFonts w:hint="eastAsia" w:ascii="宋体"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994"/>
        <w:ind w:firstLine="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法定代表人或代理人（签字或盖章）</w:t>
      </w:r>
      <w:r>
        <w:rPr>
          <w:rFonts w:hint="eastAsia" w:ascii="宋体" w:hAnsi="宋体" w:eastAsia="宋体"/>
          <w:bCs/>
          <w:color w:val="auto"/>
          <w:sz w:val="21"/>
          <w:szCs w:val="21"/>
          <w:highlight w:val="none"/>
        </w:rPr>
        <w:t xml:space="preserve">：</w:t>
      </w:r>
      <w:r/>
    </w:p>
    <w:p>
      <w:pPr>
        <w:pStyle w:val="994"/>
        <w:ind w:firstLine="0"/>
        <w:spacing w:line="400" w:lineRule="exact"/>
        <w:rPr>
          <w:rFonts w:hint="eastAsia" w:ascii="宋体" w:hAnsi="宋体" w:eastAsia="宋体"/>
          <w:b/>
          <w:color w:val="auto"/>
          <w:sz w:val="21"/>
          <w:szCs w:val="21"/>
          <w:highlight w:val="none"/>
        </w:rPr>
      </w:pPr>
      <w:r>
        <w:rPr>
          <w:rFonts w:hint="eastAsia" w:ascii="宋体" w:hAnsi="宋体" w:eastAsia="宋体"/>
          <w:bCs/>
          <w:color w:val="auto"/>
          <w:sz w:val="21"/>
          <w:szCs w:val="21"/>
          <w:highlight w:val="none"/>
        </w:rPr>
        <w:t xml:space="preserve">日期</w:t>
      </w:r>
      <w:r>
        <w:rPr>
          <w:rFonts w:ascii="宋体" w:hAnsi="宋体" w:eastAsia="宋体"/>
          <w:bCs/>
          <w:color w:val="auto"/>
          <w:sz w:val="21"/>
          <w:szCs w:val="21"/>
          <w:highlight w:val="none"/>
        </w:rPr>
        <w:t xml:space="preserve">:</w:t>
      </w:r>
      <w:r/>
    </w:p>
    <w:p>
      <w:pPr>
        <w:spacing w:line="400" w:lineRule="exact"/>
        <w:rPr>
          <w:rFonts w:hint="eastAsia" w:ascii="宋体" w:hAnsi="宋体"/>
          <w:color w:val="auto"/>
          <w:highlight w:val="none"/>
        </w:rPr>
      </w:pPr>
      <w:r>
        <w:rPr>
          <w:rFonts w:hint="eastAsia" w:ascii="宋体" w:hAnsi="宋体"/>
          <w:color w:val="auto"/>
          <w:highlight w:val="none"/>
        </w:rPr>
      </w:r>
      <w:r/>
    </w:p>
    <w:p>
      <w:pPr>
        <w:jc w:val="right"/>
        <w:widowControl/>
        <w:rPr>
          <w:rFonts w:hint="eastAsia" w:ascii="宋体" w:hAnsi="宋体"/>
          <w:color w:val="auto"/>
          <w:sz w:val="24"/>
          <w:highlight w:val="none"/>
        </w:rPr>
      </w:pPr>
      <w:r>
        <w:rPr>
          <w:rFonts w:hint="eastAsia" w:ascii="宋体" w:hAnsi="宋体" w:cs="宋体"/>
          <w:color w:val="auto"/>
          <w:szCs w:val="21"/>
          <w:highlight w:val="none"/>
        </w:rPr>
        <w:t xml:space="preserve">（</w:t>
      </w:r>
      <w:r>
        <w:rPr>
          <w:rFonts w:hint="eastAsia" w:ascii="宋体" w:hAnsi="宋体"/>
          <w:color w:val="auto"/>
          <w:sz w:val="24"/>
          <w:highlight w:val="none"/>
        </w:rPr>
        <w:t xml:space="preserve">全文完</w:t>
      </w:r>
      <w:r>
        <w:rPr>
          <w:rFonts w:hint="eastAsia" w:ascii="宋体" w:hAnsi="宋体" w:cs="宋体"/>
          <w:color w:val="auto"/>
          <w:szCs w:val="21"/>
          <w:highlight w:val="none"/>
        </w:rPr>
        <w:t xml:space="preserve">）</w:t>
      </w:r>
      <w:r/>
    </w:p>
    <w:sectPr>
      <w:headerReference w:type="default" r:id="rId9"/>
      <w:footerReference w:type="default" r:id="rId10"/>
      <w:footerReference w:type="even" r:id="rId11"/>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Calibri">
    <w:panose1 w:val="020F0502020204030204"/>
  </w:font>
  <w:font w:name="文鼎CS仿宋体">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rPr>
        <w:rStyle w:val="1032"/>
      </w:rPr>
      <w:framePr w:wrap="around" w:vAnchor="text" w:hAnchor="margin" w:xAlign="center" w:y="1"/>
    </w:pPr>
    <w:r>
      <w:fldChar w:fldCharType="begin"/>
    </w:r>
    <w:r>
      <w:rPr>
        <w:rStyle w:val="1032"/>
      </w:rPr>
      <w:instrText xml:space="preserve">PAGE  </w:instrText>
    </w:r>
    <w:r>
      <w:fldChar w:fldCharType="separate"/>
    </w:r>
    <w:r>
      <w:rPr>
        <w:rStyle w:val="1032"/>
      </w:rPr>
      <w:t xml:space="preserve">16</w:t>
    </w:r>
    <w:r>
      <w:fldChar w:fldCharType="end"/>
    </w:r>
    <w:r/>
  </w:p>
  <w:p>
    <w:pPr>
      <w:pStyle w:val="1009"/>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rPr>
        <w:rStyle w:val="1032"/>
      </w:rPr>
      <w:framePr w:wrap="around" w:vAnchor="text" w:hAnchor="margin" w:xAlign="center" w:y="1"/>
    </w:pPr>
    <w:r>
      <w:fldChar w:fldCharType="begin"/>
    </w:r>
    <w:r>
      <w:rPr>
        <w:rStyle w:val="1032"/>
      </w:rPr>
      <w:instrText xml:space="preserve">PAGE  </w:instrText>
    </w:r>
    <w:r>
      <w:fldChar w:fldCharType="separate"/>
    </w:r>
    <w:r>
      <w:fldChar w:fldCharType="end"/>
    </w:r>
    <w:r/>
  </w:p>
  <w:p>
    <w:pPr>
      <w:pStyle w:val="10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both"/>
      <w:rPr>
        <w:rFonts w:hint="default" w:ascii="宋体" w:hAnsi="宋体" w:eastAsia="宋体" w:cs="宋体"/>
        <w:lang w:val="en-US" w:eastAsia="zh-CN"/>
      </w:rPr>
    </w:pPr>
    <w:r>
      <w:rPr>
        <w:rFonts w:hint="eastAsia"/>
      </w:rPr>
      <w:t xml:space="preserve">苏州市原鑫招投标咨询服务有限公司                                              </w:t>
    </w:r>
    <w:r>
      <w:rPr>
        <w:rFonts w:hint="eastAsia" w:ascii="宋体" w:hAnsi="宋体" w:cs="宋体"/>
      </w:rPr>
      <w:t xml:space="preserve">     </w:t>
    </w:r>
    <w:r>
      <w:rPr>
        <w:rFonts w:hint="eastAsia" w:ascii="宋体" w:hAnsi="宋体" w:cs="宋体"/>
        <w:lang w:eastAsia="zh-CN"/>
      </w:rPr>
      <w:t xml:space="preserve">JSZC-320506-SZYX-C2026-00</w:t>
    </w:r>
    <w:r>
      <w:rPr>
        <w:rFonts w:hint="eastAsia" w:ascii="宋体" w:hAnsi="宋体" w:cs="宋体"/>
        <w:lang w:val="en-US" w:eastAsia="zh-CN"/>
      </w:rPr>
      <w:t xml:space="preserve">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tab"/>
      <w:lvlText w:val="(%1)"/>
      <w:lvlJc w:val="left"/>
      <w:pPr>
        <w:ind w:left="420" w:hanging="420"/>
      </w:pPr>
      <w:rPr>
        <w:rFonts w:hint="eastAsia"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decimal"/>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decimal"/>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decimal"/>
      <w:isLgl w:val="false"/>
      <w:suff w:val="tab"/>
      <w:lvlText w:val="%9."/>
      <w:lvlJc w:val="right"/>
      <w:pPr>
        <w:ind w:left="3780" w:hanging="420"/>
      </w:pPr>
      <w:rPr>
        <w:rFonts w:hint="eastAsia"/>
      </w:rPr>
    </w:lvl>
  </w:abstractNum>
  <w:abstractNum w:abstractNumId="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67" w:hanging="567"/>
        <w:tabs>
          <w:tab w:val="left" w:pos="567" w:leader="none"/>
        </w:tabs>
      </w:pPr>
      <w:rPr>
        <w:rFonts w:ascii="宋体" w:hAnsi="宋体" w:eastAsia="宋体" w:cs="宋体"/>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1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isLgl w:val="false"/>
      <w:suff w:val="tab"/>
      <w:lvlText w:val=""/>
      <w:lvlJc w:val="left"/>
      <w:pPr>
        <w:ind w:left="567" w:hanging="567"/>
        <w:tabs>
          <w:tab w:val="left" w:pos="567"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567" w:hanging="567"/>
        <w:tabs>
          <w:tab w:val="left" w:pos="567" w:leader="none"/>
        </w:tabs>
      </w:pPr>
      <w:rPr>
        <w:rFonts w:ascii="宋体" w:hAnsi="宋体" w:eastAsia="宋体" w:cs="宋体"/>
      </w:rPr>
    </w:lvl>
    <w:lvl w:ilvl="1">
      <w:start w:val="1"/>
      <w:numFmt w:val="lowerLetter"/>
      <w:isLgl w:val="false"/>
      <w:suff w:val="tab"/>
      <w:lvlText w:val="%2)"/>
      <w:lvlJc w:val="left"/>
      <w:pPr>
        <w:ind w:left="840" w:hanging="420"/>
      </w:pPr>
      <w:rPr>
        <w:rFonts w:ascii="宋体" w:hAnsi="宋体" w:eastAsia="宋体" w:cs="宋体"/>
      </w:rPr>
    </w:lvl>
    <w:lvl w:ilvl="2">
      <w:start w:val="1"/>
      <w:numFmt w:val="decimal"/>
      <w:isLgl w:val="false"/>
      <w:suff w:val="tab"/>
      <w:lvlText w:val="%3."/>
      <w:lvlJc w:val="right"/>
      <w:pPr>
        <w:ind w:left="1260" w:hanging="420"/>
      </w:pPr>
      <w:rPr>
        <w:rFonts w:ascii="宋体" w:hAnsi="宋体" w:eastAsia="宋体" w:cs="宋体"/>
      </w:rPr>
    </w:lvl>
    <w:lvl w:ilvl="3">
      <w:start w:val="1"/>
      <w:numFmt w:val="decimal"/>
      <w:isLgl w:val="false"/>
      <w:suff w:val="tab"/>
      <w:lvlText w:val="%4."/>
      <w:lvlJc w:val="left"/>
      <w:pPr>
        <w:ind w:left="1680" w:hanging="420"/>
      </w:pPr>
      <w:rPr>
        <w:rFonts w:ascii="宋体" w:hAnsi="宋体" w:eastAsia="宋体" w:cs="宋体"/>
      </w:rPr>
    </w:lvl>
    <w:lvl w:ilvl="4">
      <w:start w:val="1"/>
      <w:numFmt w:val="lowerLetter"/>
      <w:isLgl w:val="false"/>
      <w:suff w:val="tab"/>
      <w:lvlText w:val="%5)"/>
      <w:lvlJc w:val="left"/>
      <w:pPr>
        <w:ind w:left="2100" w:hanging="420"/>
      </w:pPr>
      <w:rPr>
        <w:rFonts w:ascii="宋体" w:hAnsi="宋体" w:eastAsia="宋体" w:cs="宋体"/>
      </w:rPr>
    </w:lvl>
    <w:lvl w:ilvl="5">
      <w:start w:val="1"/>
      <w:numFmt w:val="decimal"/>
      <w:isLgl w:val="false"/>
      <w:suff w:val="tab"/>
      <w:lvlText w:val="%6."/>
      <w:lvlJc w:val="right"/>
      <w:pPr>
        <w:ind w:left="2520" w:hanging="420"/>
      </w:pPr>
      <w:rPr>
        <w:rFonts w:ascii="宋体" w:hAnsi="宋体" w:eastAsia="宋体" w:cs="宋体"/>
      </w:rPr>
    </w:lvl>
    <w:lvl w:ilvl="6">
      <w:start w:val="1"/>
      <w:numFmt w:val="decimal"/>
      <w:isLgl w:val="false"/>
      <w:suff w:val="tab"/>
      <w:lvlText w:val="%7."/>
      <w:lvlJc w:val="left"/>
      <w:pPr>
        <w:ind w:left="2940" w:hanging="420"/>
      </w:pPr>
      <w:rPr>
        <w:rFonts w:ascii="宋体" w:hAnsi="宋体" w:eastAsia="宋体" w:cs="宋体"/>
      </w:rPr>
    </w:lvl>
    <w:lvl w:ilvl="7">
      <w:start w:val="1"/>
      <w:numFmt w:val="lowerLetter"/>
      <w:isLgl w:val="false"/>
      <w:suff w:val="tab"/>
      <w:lvlText w:val="%8)"/>
      <w:lvlJc w:val="left"/>
      <w:pPr>
        <w:ind w:left="3360" w:hanging="420"/>
      </w:pPr>
      <w:rPr>
        <w:rFonts w:ascii="宋体" w:hAnsi="宋体" w:eastAsia="宋体" w:cs="宋体"/>
      </w:rPr>
    </w:lvl>
    <w:lvl w:ilvl="8">
      <w:start w:val="1"/>
      <w:numFmt w:val="decimal"/>
      <w:isLgl w:val="false"/>
      <w:suff w:val="tab"/>
      <w:lvlText w:val="%9."/>
      <w:lvlJc w:val="right"/>
      <w:pPr>
        <w:ind w:left="3780" w:hanging="420"/>
      </w:pPr>
      <w:rPr>
        <w:rFonts w:ascii="宋体" w:hAnsi="宋体" w:eastAsia="宋体" w:cs="宋体"/>
      </w:rPr>
    </w:lvl>
  </w:abstractNum>
  <w:abstractNum w:abstractNumId="3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33">
    <w:multiLevelType w:val="hybridMultilevel"/>
    <w:lvl w:ilvl="0">
      <w:start w:val="1"/>
      <w:numFmt w:val="chineseCountingThousand"/>
      <w:pStyle w:val="1152"/>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pStyle w:val="1120"/>
      <w:isLgl w:val="false"/>
      <w:suff w:val="space"/>
      <w:lvlText w:val="%1"/>
      <w:lvlJc w:val="left"/>
      <w:pPr>
        <w:ind w:left="0" w:firstLine="0"/>
      </w:pPr>
      <w:rPr>
        <w:rFonts w:hint="eastAsia" w:ascii="宋体" w:hAnsi="宋体" w:eastAsia="宋体"/>
        <w:b/>
      </w:rPr>
    </w:lvl>
    <w:lvl w:ilvl="1">
      <w:start w:val="1"/>
      <w:numFmt w:val="decimal"/>
      <w:pStyle w:val="1067"/>
      <w:isLgl w:val="false"/>
      <w:suff w:val="space"/>
      <w:lvlText w:val="%1.%2"/>
      <w:lvlJc w:val="left"/>
      <w:pPr>
        <w:ind w:left="-84" w:firstLine="510"/>
      </w:pPr>
      <w:rPr>
        <w:rFonts w:hint="eastAsia" w:ascii="宋体" w:hAnsi="宋体" w:eastAsia="宋体"/>
      </w:rPr>
    </w:lvl>
    <w:lvl w:ilvl="2">
      <w:start w:val="1"/>
      <w:numFmt w:val="decimal"/>
      <w:pStyle w:val="1093"/>
      <w:isLgl w:val="false"/>
      <w:suff w:val="tab"/>
      <w:lvlText w:val="%1.%2.%3"/>
      <w:lvlJc w:val="left"/>
      <w:pPr>
        <w:ind w:left="0" w:firstLine="510"/>
      </w:pPr>
      <w:rPr>
        <w:rFonts w:hint="eastAsia"/>
      </w:rPr>
    </w:lvl>
    <w:lvl w:ilvl="3">
      <w:start w:val="1"/>
      <w:numFmt w:val="decimal"/>
      <w:pStyle w:val="1135"/>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ind w:left="567" w:hanging="567"/>
        <w:tabs>
          <w:tab w:val="left"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color w:val="auto"/>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1">
    <w:multiLevelType w:val="hybridMultilevel"/>
    <w:lvl w:ilvl="0">
      <w:start w:val="1"/>
      <w:numFmt w:val="chineseCountingThousand"/>
      <w:isLgl w:val="false"/>
      <w:suff w:val="tab"/>
      <w:lvlText w:val="%1、"/>
      <w:lvlJc w:val="left"/>
      <w:pPr>
        <w:ind w:left="697" w:hanging="555"/>
        <w:tabs>
          <w:tab w:val="left" w:pos="697" w:leader="none"/>
        </w:tabs>
      </w:pPr>
      <w:rPr>
        <w:rFonts w:hint="default"/>
        <w:b/>
        <w:color w:val="auto"/>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6">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8">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ind w:left="567" w:hanging="567"/>
        <w:tabs>
          <w:tab w:val="left" w:pos="567" w:leader="none"/>
        </w:tabs>
      </w:pPr>
      <w:rPr>
        <w:rFonts w:ascii="宋体" w:hAnsi="宋体" w:eastAsia="宋体" w:cs="宋体"/>
      </w:rPr>
    </w:lvl>
    <w:lvl w:ilvl="1">
      <w:start w:val="1"/>
      <w:numFmt w:val="lowerLetter"/>
      <w:isLgl w:val="false"/>
      <w:suff w:val="tab"/>
      <w:lvlText w:val="%2)"/>
      <w:lvlJc w:val="left"/>
      <w:pPr>
        <w:ind w:left="1300" w:hanging="440"/>
      </w:pPr>
    </w:lvl>
    <w:lvl w:ilvl="2">
      <w:start w:val="1"/>
      <w:numFmt w:val="decimal"/>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decimal"/>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decimal"/>
      <w:isLgl w:val="false"/>
      <w:suff w:val="tab"/>
      <w:lvlText w:val="%9."/>
      <w:lvlJc w:val="right"/>
      <w:pPr>
        <w:ind w:left="4380" w:hanging="440"/>
      </w:pPr>
    </w:lvl>
  </w:abstractNum>
  <w:abstractNum w:abstractNumId="51">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5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pPr>
      <w:rPr>
        <w:rFonts w:ascii="宋体" w:hAnsi="宋体" w:eastAsia="宋体"/>
        <w:b w:val="0"/>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bullet"/>
      <w:pStyle w:val="1139"/>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60">
    <w:multiLevelType w:val="hybridMultilevel"/>
    <w:lvl w:ilvl="0">
      <w:start w:val="1"/>
      <w:numFmt w:val="decimal"/>
      <w:isLgl w:val="false"/>
      <w:suff w:val="tab"/>
      <w:lvlText w:val="(%1)"/>
      <w:lvlJc w:val="left"/>
      <w:pPr>
        <w:ind w:left="567" w:hanging="567"/>
        <w:tabs>
          <w:tab w:val="left" w:pos="567" w:leader="none"/>
        </w:tabs>
      </w:pPr>
      <w:rPr>
        <w:rFonts w:ascii="宋体" w:hAnsi="宋体" w:eastAsia="宋体" w:cs="宋体"/>
      </w:rPr>
    </w:lvl>
    <w:lvl w:ilvl="1">
      <w:start w:val="1"/>
      <w:numFmt w:val="lowerLetter"/>
      <w:isLgl w:val="false"/>
      <w:suff w:val="tab"/>
      <w:lvlText w:val="%2)"/>
      <w:lvlJc w:val="left"/>
      <w:pPr>
        <w:ind w:left="840" w:hanging="420"/>
      </w:pPr>
      <w:rPr>
        <w:rFonts w:ascii="宋体" w:hAnsi="宋体" w:eastAsia="宋体" w:cs="宋体"/>
      </w:rPr>
    </w:lvl>
    <w:lvl w:ilvl="2">
      <w:start w:val="1"/>
      <w:numFmt w:val="decimal"/>
      <w:isLgl w:val="false"/>
      <w:suff w:val="tab"/>
      <w:lvlText w:val="%3."/>
      <w:lvlJc w:val="right"/>
      <w:pPr>
        <w:ind w:left="1260" w:hanging="420"/>
      </w:pPr>
      <w:rPr>
        <w:rFonts w:ascii="宋体" w:hAnsi="宋体" w:eastAsia="宋体" w:cs="宋体"/>
      </w:rPr>
    </w:lvl>
    <w:lvl w:ilvl="3">
      <w:start w:val="1"/>
      <w:numFmt w:val="decimal"/>
      <w:isLgl w:val="false"/>
      <w:suff w:val="tab"/>
      <w:lvlText w:val="%4."/>
      <w:lvlJc w:val="left"/>
      <w:pPr>
        <w:ind w:left="1680" w:hanging="420"/>
      </w:pPr>
      <w:rPr>
        <w:rFonts w:ascii="宋体" w:hAnsi="宋体" w:eastAsia="宋体" w:cs="宋体"/>
      </w:rPr>
    </w:lvl>
    <w:lvl w:ilvl="4">
      <w:start w:val="1"/>
      <w:numFmt w:val="lowerLetter"/>
      <w:isLgl w:val="false"/>
      <w:suff w:val="tab"/>
      <w:lvlText w:val="%5)"/>
      <w:lvlJc w:val="left"/>
      <w:pPr>
        <w:ind w:left="2100" w:hanging="420"/>
      </w:pPr>
      <w:rPr>
        <w:rFonts w:ascii="宋体" w:hAnsi="宋体" w:eastAsia="宋体" w:cs="宋体"/>
      </w:rPr>
    </w:lvl>
    <w:lvl w:ilvl="5">
      <w:start w:val="1"/>
      <w:numFmt w:val="decimal"/>
      <w:isLgl w:val="false"/>
      <w:suff w:val="tab"/>
      <w:lvlText w:val="%6."/>
      <w:lvlJc w:val="right"/>
      <w:pPr>
        <w:ind w:left="2520" w:hanging="420"/>
      </w:pPr>
      <w:rPr>
        <w:rFonts w:ascii="宋体" w:hAnsi="宋体" w:eastAsia="宋体" w:cs="宋体"/>
      </w:rPr>
    </w:lvl>
    <w:lvl w:ilvl="6">
      <w:start w:val="1"/>
      <w:numFmt w:val="decimal"/>
      <w:isLgl w:val="false"/>
      <w:suff w:val="tab"/>
      <w:lvlText w:val="%7."/>
      <w:lvlJc w:val="left"/>
      <w:pPr>
        <w:ind w:left="2940" w:hanging="420"/>
      </w:pPr>
      <w:rPr>
        <w:rFonts w:ascii="宋体" w:hAnsi="宋体" w:eastAsia="宋体" w:cs="宋体"/>
      </w:rPr>
    </w:lvl>
    <w:lvl w:ilvl="7">
      <w:start w:val="1"/>
      <w:numFmt w:val="lowerLetter"/>
      <w:isLgl w:val="false"/>
      <w:suff w:val="tab"/>
      <w:lvlText w:val="%8)"/>
      <w:lvlJc w:val="left"/>
      <w:pPr>
        <w:ind w:left="3360" w:hanging="420"/>
      </w:pPr>
      <w:rPr>
        <w:rFonts w:ascii="宋体" w:hAnsi="宋体" w:eastAsia="宋体" w:cs="宋体"/>
      </w:rPr>
    </w:lvl>
    <w:lvl w:ilvl="8">
      <w:start w:val="1"/>
      <w:numFmt w:val="decimal"/>
      <w:isLgl w:val="false"/>
      <w:suff w:val="tab"/>
      <w:lvlText w:val="%9."/>
      <w:lvlJc w:val="right"/>
      <w:pPr>
        <w:ind w:left="3780" w:hanging="420"/>
      </w:pPr>
      <w:rPr>
        <w:rFonts w:ascii="宋体" w:hAnsi="宋体" w:eastAsia="宋体" w:cs="宋体"/>
      </w:rPr>
    </w:lvl>
  </w:abstractNum>
  <w:abstractNum w:abstractNumId="61">
    <w:multiLevelType w:val="hybridMultilevel"/>
    <w:lvl w:ilvl="0">
      <w:start w:val="1"/>
      <w:numFmt w:val="chineseCountingThousand"/>
      <w:pStyle w:val="1013"/>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6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1"/>
  </w:num>
  <w:num w:numId="2">
    <w:abstractNumId w:val="36"/>
  </w:num>
  <w:num w:numId="3">
    <w:abstractNumId w:val="56"/>
  </w:num>
  <w:num w:numId="4">
    <w:abstractNumId w:val="33"/>
  </w:num>
  <w:num w:numId="5">
    <w:abstractNumId w:val="46"/>
  </w:num>
  <w:num w:numId="6">
    <w:abstractNumId w:val="0"/>
  </w:num>
  <w:num w:numId="7">
    <w:abstractNumId w:val="17"/>
  </w:num>
  <w:num w:numId="8">
    <w:abstractNumId w:val="6"/>
  </w:num>
  <w:num w:numId="9">
    <w:abstractNumId w:val="38"/>
  </w:num>
  <w:num w:numId="10">
    <w:abstractNumId w:val="5"/>
  </w:num>
  <w:num w:numId="11">
    <w:abstractNumId w:val="1"/>
  </w:num>
  <w:num w:numId="12">
    <w:abstractNumId w:val="57"/>
  </w:num>
  <w:num w:numId="13">
    <w:abstractNumId w:val="28"/>
  </w:num>
  <w:num w:numId="14">
    <w:abstractNumId w:val="8"/>
  </w:num>
  <w:num w:numId="15">
    <w:abstractNumId w:val="18"/>
  </w:num>
  <w:num w:numId="16">
    <w:abstractNumId w:val="44"/>
  </w:num>
  <w:num w:numId="17">
    <w:abstractNumId w:val="69"/>
  </w:num>
  <w:num w:numId="18">
    <w:abstractNumId w:val="7"/>
  </w:num>
  <w:num w:numId="19">
    <w:abstractNumId w:val="50"/>
  </w:num>
  <w:num w:numId="20">
    <w:abstractNumId w:val="11"/>
  </w:num>
  <w:num w:numId="21">
    <w:abstractNumId w:val="22"/>
  </w:num>
  <w:num w:numId="22">
    <w:abstractNumId w:val="29"/>
  </w:num>
  <w:num w:numId="23">
    <w:abstractNumId w:val="60"/>
  </w:num>
  <w:num w:numId="24">
    <w:abstractNumId w:val="65"/>
  </w:num>
  <w:num w:numId="25">
    <w:abstractNumId w:val="3"/>
  </w:num>
  <w:num w:numId="26">
    <w:abstractNumId w:val="39"/>
  </w:num>
  <w:num w:numId="27">
    <w:abstractNumId w:val="67"/>
  </w:num>
  <w:num w:numId="28">
    <w:abstractNumId w:val="64"/>
  </w:num>
  <w:num w:numId="29">
    <w:abstractNumId w:val="37"/>
  </w:num>
  <w:num w:numId="30">
    <w:abstractNumId w:val="48"/>
  </w:num>
  <w:num w:numId="31">
    <w:abstractNumId w:val="27"/>
  </w:num>
  <w:num w:numId="32">
    <w:abstractNumId w:val="21"/>
  </w:num>
  <w:num w:numId="33">
    <w:abstractNumId w:val="43"/>
  </w:num>
  <w:num w:numId="34">
    <w:abstractNumId w:val="35"/>
  </w:num>
  <w:num w:numId="35">
    <w:abstractNumId w:val="66"/>
  </w:num>
  <w:num w:numId="36">
    <w:abstractNumId w:val="30"/>
  </w:num>
  <w:num w:numId="37">
    <w:abstractNumId w:val="4"/>
  </w:num>
  <w:num w:numId="38">
    <w:abstractNumId w:val="34"/>
  </w:num>
  <w:num w:numId="39">
    <w:abstractNumId w:val="14"/>
  </w:num>
  <w:num w:numId="40">
    <w:abstractNumId w:val="13"/>
  </w:num>
  <w:num w:numId="41">
    <w:abstractNumId w:val="24"/>
  </w:num>
  <w:num w:numId="42">
    <w:abstractNumId w:val="62"/>
  </w:num>
  <w:num w:numId="43">
    <w:abstractNumId w:val="25"/>
  </w:num>
  <w:num w:numId="44">
    <w:abstractNumId w:val="68"/>
  </w:num>
  <w:num w:numId="45">
    <w:abstractNumId w:val="53"/>
  </w:num>
  <w:num w:numId="46">
    <w:abstractNumId w:val="26"/>
  </w:num>
  <w:num w:numId="47">
    <w:abstractNumId w:val="16"/>
  </w:num>
  <w:num w:numId="48">
    <w:abstractNumId w:val="55"/>
  </w:num>
  <w:num w:numId="49">
    <w:abstractNumId w:val="42"/>
  </w:num>
  <w:num w:numId="50">
    <w:abstractNumId w:val="9"/>
  </w:num>
  <w:num w:numId="51">
    <w:abstractNumId w:val="10"/>
  </w:num>
  <w:num w:numId="52">
    <w:abstractNumId w:val="49"/>
  </w:num>
  <w:num w:numId="53">
    <w:abstractNumId w:val="19"/>
  </w:num>
  <w:num w:numId="54">
    <w:abstractNumId w:val="15"/>
  </w:num>
  <w:num w:numId="55">
    <w:abstractNumId w:val="59"/>
  </w:num>
  <w:num w:numId="56">
    <w:abstractNumId w:val="20"/>
  </w:num>
  <w:num w:numId="57">
    <w:abstractNumId w:val="2"/>
  </w:num>
  <w:num w:numId="58">
    <w:abstractNumId w:val="23"/>
  </w:num>
  <w:num w:numId="59">
    <w:abstractNumId w:val="12"/>
  </w:num>
  <w:num w:numId="60">
    <w:abstractNumId w:val="32"/>
  </w:num>
  <w:num w:numId="61">
    <w:abstractNumId w:val="70"/>
  </w:num>
  <w:num w:numId="62">
    <w:abstractNumId w:val="41"/>
  </w:num>
  <w:num w:numId="63">
    <w:abstractNumId w:val="47"/>
  </w:num>
  <w:num w:numId="64">
    <w:abstractNumId w:val="31"/>
  </w:num>
  <w:num w:numId="65">
    <w:abstractNumId w:val="52"/>
  </w:num>
  <w:num w:numId="66">
    <w:abstractNumId w:val="54"/>
  </w:num>
  <w:num w:numId="67">
    <w:abstractNumId w:val="40"/>
  </w:num>
  <w:num w:numId="68">
    <w:abstractNumId w:val="63"/>
  </w:num>
  <w:num w:numId="69">
    <w:abstractNumId w:val="51"/>
  </w:num>
  <w:num w:numId="7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4">
    <w:name w:val="Heading 1 Char"/>
    <w:basedOn w:val="983"/>
    <w:link w:val="974"/>
    <w:uiPriority w:val="9"/>
    <w:rPr>
      <w:rFonts w:ascii="Arial" w:hAnsi="Arial" w:eastAsia="Arial" w:cs="Arial"/>
      <w:sz w:val="40"/>
      <w:szCs w:val="40"/>
    </w:rPr>
  </w:style>
  <w:style w:type="character" w:styleId="825">
    <w:name w:val="Heading 2 Char"/>
    <w:basedOn w:val="983"/>
    <w:link w:val="975"/>
    <w:uiPriority w:val="9"/>
    <w:rPr>
      <w:rFonts w:ascii="Arial" w:hAnsi="Arial" w:eastAsia="Arial" w:cs="Arial"/>
      <w:sz w:val="34"/>
    </w:rPr>
  </w:style>
  <w:style w:type="character" w:styleId="826">
    <w:name w:val="Heading 3 Char"/>
    <w:basedOn w:val="983"/>
    <w:link w:val="976"/>
    <w:uiPriority w:val="9"/>
    <w:rPr>
      <w:rFonts w:ascii="Arial" w:hAnsi="Arial" w:eastAsia="Arial" w:cs="Arial"/>
      <w:sz w:val="30"/>
      <w:szCs w:val="30"/>
    </w:rPr>
  </w:style>
  <w:style w:type="character" w:styleId="827">
    <w:name w:val="Heading 4 Char"/>
    <w:basedOn w:val="983"/>
    <w:link w:val="977"/>
    <w:uiPriority w:val="9"/>
    <w:rPr>
      <w:rFonts w:ascii="Arial" w:hAnsi="Arial" w:eastAsia="Arial" w:cs="Arial"/>
      <w:b/>
      <w:bCs/>
      <w:sz w:val="26"/>
      <w:szCs w:val="26"/>
    </w:rPr>
  </w:style>
  <w:style w:type="character" w:styleId="828">
    <w:name w:val="Heading 5 Char"/>
    <w:basedOn w:val="983"/>
    <w:link w:val="978"/>
    <w:uiPriority w:val="9"/>
    <w:rPr>
      <w:rFonts w:ascii="Arial" w:hAnsi="Arial" w:eastAsia="Arial" w:cs="Arial"/>
      <w:b/>
      <w:bCs/>
      <w:sz w:val="24"/>
      <w:szCs w:val="24"/>
    </w:rPr>
  </w:style>
  <w:style w:type="character" w:styleId="829">
    <w:name w:val="Heading 6 Char"/>
    <w:basedOn w:val="983"/>
    <w:link w:val="979"/>
    <w:uiPriority w:val="9"/>
    <w:rPr>
      <w:rFonts w:ascii="Arial" w:hAnsi="Arial" w:eastAsia="Arial" w:cs="Arial"/>
      <w:b/>
      <w:bCs/>
      <w:sz w:val="22"/>
      <w:szCs w:val="22"/>
    </w:rPr>
  </w:style>
  <w:style w:type="character" w:styleId="830">
    <w:name w:val="Heading 7 Char"/>
    <w:basedOn w:val="983"/>
    <w:link w:val="980"/>
    <w:uiPriority w:val="9"/>
    <w:rPr>
      <w:rFonts w:ascii="Arial" w:hAnsi="Arial" w:eastAsia="Arial" w:cs="Arial"/>
      <w:b/>
      <w:bCs/>
      <w:i/>
      <w:iCs/>
      <w:sz w:val="22"/>
      <w:szCs w:val="22"/>
    </w:rPr>
  </w:style>
  <w:style w:type="character" w:styleId="831">
    <w:name w:val="Heading 8 Char"/>
    <w:basedOn w:val="983"/>
    <w:link w:val="981"/>
    <w:uiPriority w:val="9"/>
    <w:rPr>
      <w:rFonts w:ascii="Arial" w:hAnsi="Arial" w:eastAsia="Arial" w:cs="Arial"/>
      <w:i/>
      <w:iCs/>
      <w:sz w:val="22"/>
      <w:szCs w:val="22"/>
    </w:rPr>
  </w:style>
  <w:style w:type="character" w:styleId="832">
    <w:name w:val="Heading 9 Char"/>
    <w:basedOn w:val="983"/>
    <w:link w:val="982"/>
    <w:uiPriority w:val="9"/>
    <w:rPr>
      <w:rFonts w:ascii="Arial" w:hAnsi="Arial" w:eastAsia="Arial" w:cs="Arial"/>
      <w:i/>
      <w:iCs/>
      <w:sz w:val="21"/>
      <w:szCs w:val="21"/>
    </w:rPr>
  </w:style>
  <w:style w:type="character" w:styleId="833">
    <w:name w:val="Title Char"/>
    <w:basedOn w:val="983"/>
    <w:link w:val="1030"/>
    <w:uiPriority w:val="10"/>
    <w:rPr>
      <w:sz w:val="48"/>
      <w:szCs w:val="48"/>
    </w:rPr>
  </w:style>
  <w:style w:type="character" w:styleId="834">
    <w:name w:val="Subtitle Char"/>
    <w:basedOn w:val="983"/>
    <w:link w:val="1017"/>
    <w:uiPriority w:val="11"/>
    <w:rPr>
      <w:sz w:val="24"/>
      <w:szCs w:val="24"/>
    </w:rPr>
  </w:style>
  <w:style w:type="paragraph" w:styleId="835">
    <w:name w:val="Quote"/>
    <w:basedOn w:val="973"/>
    <w:next w:val="973"/>
    <w:link w:val="836"/>
    <w:uiPriority w:val="29"/>
    <w:qFormat/>
    <w:pPr>
      <w:ind w:left="720" w:right="720"/>
    </w:pPr>
    <w:rPr>
      <w:i/>
    </w:rPr>
  </w:style>
  <w:style w:type="character" w:styleId="836">
    <w:name w:val="Quote Char"/>
    <w:link w:val="835"/>
    <w:uiPriority w:val="29"/>
    <w:rPr>
      <w:i/>
    </w:rPr>
  </w:style>
  <w:style w:type="paragraph" w:styleId="837">
    <w:name w:val="Intense Quote"/>
    <w:basedOn w:val="973"/>
    <w:next w:val="973"/>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name w:val="Intense Quote Char"/>
    <w:link w:val="837"/>
    <w:uiPriority w:val="30"/>
    <w:rPr>
      <w:i/>
    </w:rPr>
  </w:style>
  <w:style w:type="character" w:styleId="839">
    <w:name w:val="Header Char"/>
    <w:basedOn w:val="983"/>
    <w:link w:val="1012"/>
    <w:uiPriority w:val="99"/>
  </w:style>
  <w:style w:type="character" w:styleId="840">
    <w:name w:val="Footer Char"/>
    <w:basedOn w:val="983"/>
    <w:link w:val="1009"/>
    <w:uiPriority w:val="99"/>
  </w:style>
  <w:style w:type="paragraph" w:styleId="841">
    <w:name w:val="Caption"/>
    <w:basedOn w:val="973"/>
    <w:next w:val="973"/>
    <w:uiPriority w:val="35"/>
    <w:semiHidden/>
    <w:unhideWhenUsed/>
    <w:qFormat/>
    <w:pPr>
      <w:spacing w:line="276" w:lineRule="auto"/>
    </w:pPr>
    <w:rPr>
      <w:b/>
      <w:bCs/>
      <w:color w:val="4f81bd" w:themeColor="accent1"/>
      <w:sz w:val="18"/>
      <w:szCs w:val="18"/>
    </w:rPr>
  </w:style>
  <w:style w:type="character" w:styleId="842">
    <w:name w:val="Caption Char"/>
    <w:basedOn w:val="841"/>
    <w:link w:val="1009"/>
    <w:uiPriority w:val="99"/>
  </w:style>
  <w:style w:type="table" w:styleId="843">
    <w:name w:val="Table Grid Light"/>
    <w:basedOn w:val="9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4">
    <w:name w:val="Plain Table 1"/>
    <w:basedOn w:val="9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basedOn w:val="9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basedOn w:val="9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1 Light - Accent 1"/>
    <w:basedOn w:val="9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1">
    <w:name w:val="Grid Table 1 Light - Accent 2"/>
    <w:basedOn w:val="9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2">
    <w:name w:val="Grid Table 1 Light - Accent 3"/>
    <w:basedOn w:val="9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3">
    <w:name w:val="Grid Table 1 Light - Accent 4"/>
    <w:basedOn w:val="9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4">
    <w:name w:val="Grid Table 1 Light - Accent 5"/>
    <w:basedOn w:val="9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5">
    <w:name w:val="Grid Table 1 Light - Accent 6"/>
    <w:basedOn w:val="9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6">
    <w:name w:val="Grid Table 2"/>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2 - Accent 1"/>
    <w:basedOn w:val="9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8">
    <w:name w:val="Grid Table 2 - Accent 2"/>
    <w:basedOn w:val="9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2 - Accent 3"/>
    <w:basedOn w:val="9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2 - Accent 4"/>
    <w:basedOn w:val="9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2 - Accent 5"/>
    <w:basedOn w:val="9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2">
    <w:name w:val="Grid Table 2 - Accent 6"/>
    <w:basedOn w:val="9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3">
    <w:name w:val="Grid Table 3"/>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1"/>
    <w:basedOn w:val="9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2"/>
    <w:basedOn w:val="9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3"/>
    <w:basedOn w:val="9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4"/>
    <w:basedOn w:val="9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5"/>
    <w:basedOn w:val="9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6"/>
    <w:basedOn w:val="9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4"/>
    <w:basedOn w:val="9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name w:val="Grid Table 4 - Accent 1"/>
    <w:basedOn w:val="9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2">
    <w:name w:val="Grid Table 4 - Accent 2"/>
    <w:basedOn w:val="9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3">
    <w:name w:val="Grid Table 4 - Accent 3"/>
    <w:basedOn w:val="9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4">
    <w:name w:val="Grid Table 4 - Accent 4"/>
    <w:basedOn w:val="9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5">
    <w:name w:val="Grid Table 4 - Accent 5"/>
    <w:basedOn w:val="9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6">
    <w:name w:val="Grid Table 4 - Accent 6"/>
    <w:basedOn w:val="9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7">
    <w:name w:val="Grid Table 5 Dark"/>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5 Dark- Accent 1"/>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9">
    <w:name w:val="Grid Table 5 Dark - Accent 2"/>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0">
    <w:name w:val="Grid Table 5 Dark - Accent 3"/>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1">
    <w:name w:val="Grid Table 5 Dark- Accent 4"/>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2">
    <w:name w:val="Grid Table 5 Dark - Accent 5"/>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3">
    <w:name w:val="Grid Table 5 Dark - Accent 6"/>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4">
    <w:name w:val="Grid Table 6 Colorful"/>
    <w:basedOn w:val="9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6 Colorful - Accent 1"/>
    <w:basedOn w:val="9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6">
    <w:name w:val="Grid Table 6 Colorful - Accent 2"/>
    <w:basedOn w:val="9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7">
    <w:name w:val="Grid Table 6 Colorful - Accent 3"/>
    <w:basedOn w:val="9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8">
    <w:name w:val="Grid Table 6 Colorful - Accent 4"/>
    <w:basedOn w:val="9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9">
    <w:name w:val="Grid Table 6 Colorful - Accent 5"/>
    <w:basedOn w:val="9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6 Colorful - Accent 6"/>
    <w:basedOn w:val="9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7 Colorful"/>
    <w:basedOn w:val="9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2">
    <w:name w:val="Grid Table 7 Colorful - Accent 1"/>
    <w:basedOn w:val="9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3">
    <w:name w:val="Grid Table 7 Colorful - Accent 2"/>
    <w:basedOn w:val="9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7 Colorful - Accent 3"/>
    <w:basedOn w:val="9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7 Colorful - Accent 4"/>
    <w:basedOn w:val="9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7 Colorful - Accent 5"/>
    <w:basedOn w:val="9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7">
    <w:name w:val="Grid Table 7 Colorful - Accent 6"/>
    <w:basedOn w:val="9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8">
    <w:name w:val="List Table 1 Light"/>
    <w:basedOn w:val="9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1 Light - Accent 1"/>
    <w:basedOn w:val="9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0">
    <w:name w:val="List Table 1 Light - Accent 2"/>
    <w:basedOn w:val="9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1">
    <w:name w:val="List Table 1 Light - Accent 3"/>
    <w:basedOn w:val="9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2">
    <w:name w:val="List Table 1 Light - Accent 4"/>
    <w:basedOn w:val="9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3">
    <w:name w:val="List Table 1 Light - Accent 5"/>
    <w:basedOn w:val="9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4">
    <w:name w:val="List Table 1 Light - Accent 6"/>
    <w:basedOn w:val="9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5">
    <w:name w:val="List Table 2"/>
    <w:basedOn w:val="9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6">
    <w:name w:val="List Table 2 - Accent 1"/>
    <w:basedOn w:val="9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7">
    <w:name w:val="List Table 2 - Accent 2"/>
    <w:basedOn w:val="9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8">
    <w:name w:val="List Table 2 - Accent 3"/>
    <w:basedOn w:val="9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9">
    <w:name w:val="List Table 2 - Accent 4"/>
    <w:basedOn w:val="9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0">
    <w:name w:val="List Table 2 - Accent 5"/>
    <w:basedOn w:val="9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1">
    <w:name w:val="List Table 2 - Accent 6"/>
    <w:basedOn w:val="9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2">
    <w:name w:val="List Table 3"/>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3 - Accent 1"/>
    <w:basedOn w:val="9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3 - Accent 2"/>
    <w:basedOn w:val="9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5">
    <w:name w:val="List Table 3 - Accent 3"/>
    <w:basedOn w:val="9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6">
    <w:name w:val="List Table 3 - Accent 4"/>
    <w:basedOn w:val="9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7">
    <w:name w:val="List Table 3 - Accent 5"/>
    <w:basedOn w:val="9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8">
    <w:name w:val="List Table 3 - Accent 6"/>
    <w:basedOn w:val="9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9">
    <w:name w:val="List Table 4"/>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4 - Accent 1"/>
    <w:basedOn w:val="9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1">
    <w:name w:val="List Table 4 - Accent 2"/>
    <w:basedOn w:val="9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2">
    <w:name w:val="List Table 4 - Accent 3"/>
    <w:basedOn w:val="9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3">
    <w:name w:val="List Table 4 - Accent 4"/>
    <w:basedOn w:val="9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4">
    <w:name w:val="List Table 4 - Accent 5"/>
    <w:basedOn w:val="9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5">
    <w:name w:val="List Table 4 - Accent 6"/>
    <w:basedOn w:val="9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6">
    <w:name w:val="List Table 5 Dark"/>
    <w:basedOn w:val="9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1"/>
    <w:basedOn w:val="9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2"/>
    <w:basedOn w:val="9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3"/>
    <w:basedOn w:val="9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4"/>
    <w:basedOn w:val="9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5"/>
    <w:basedOn w:val="9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6"/>
    <w:basedOn w:val="9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6 Colorful"/>
    <w:basedOn w:val="9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4">
    <w:name w:val="List Table 6 Colorful - Accent 1"/>
    <w:basedOn w:val="9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5">
    <w:name w:val="List Table 6 Colorful - Accent 2"/>
    <w:basedOn w:val="9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6">
    <w:name w:val="List Table 6 Colorful - Accent 3"/>
    <w:basedOn w:val="9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7">
    <w:name w:val="List Table 6 Colorful - Accent 4"/>
    <w:basedOn w:val="9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8">
    <w:name w:val="List Table 6 Colorful - Accent 5"/>
    <w:basedOn w:val="9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9">
    <w:name w:val="List Table 6 Colorful - Accent 6"/>
    <w:basedOn w:val="9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0">
    <w:name w:val="List Table 7 Colorful"/>
    <w:basedOn w:val="9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1">
    <w:name w:val="List Table 7 Colorful - Accent 1"/>
    <w:basedOn w:val="9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2">
    <w:name w:val="List Table 7 Colorful - Accent 2"/>
    <w:basedOn w:val="9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3">
    <w:name w:val="List Table 7 Colorful - Accent 3"/>
    <w:basedOn w:val="9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4">
    <w:name w:val="List Table 7 Colorful - Accent 4"/>
    <w:basedOn w:val="9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5">
    <w:name w:val="List Table 7 Colorful - Accent 5"/>
    <w:basedOn w:val="9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6">
    <w:name w:val="List Table 7 Colorful - Accent 6"/>
    <w:basedOn w:val="9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7">
    <w:name w:val="Lined - Accent"/>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Lined - Accent 1"/>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Lined - Accent 2"/>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Lined - Accent 3"/>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Lined - Accent 4"/>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Lined - Accent 5"/>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Lined - Accent 6"/>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amp; Lined - Accent"/>
    <w:basedOn w:val="9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Bordered &amp; Lined - Accent 1"/>
    <w:basedOn w:val="9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6">
    <w:name w:val="Bordered &amp; Lined - Accent 2"/>
    <w:basedOn w:val="9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7">
    <w:name w:val="Bordered &amp; Lined - Accent 3"/>
    <w:basedOn w:val="9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8">
    <w:name w:val="Bordered &amp; Lined - Accent 4"/>
    <w:basedOn w:val="9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9">
    <w:name w:val="Bordered &amp; Lined - Accent 5"/>
    <w:basedOn w:val="9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0">
    <w:name w:val="Bordered &amp; Lined - Accent 6"/>
    <w:basedOn w:val="9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1">
    <w:name w:val="Bordered"/>
    <w:basedOn w:val="9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2">
    <w:name w:val="Bordered - Accent 1"/>
    <w:basedOn w:val="9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3">
    <w:name w:val="Bordered - Accent 2"/>
    <w:basedOn w:val="9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4">
    <w:name w:val="Bordered - Accent 3"/>
    <w:basedOn w:val="9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5">
    <w:name w:val="Bordered - Accent 4"/>
    <w:basedOn w:val="9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6">
    <w:name w:val="Bordered - Accent 5"/>
    <w:basedOn w:val="9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7">
    <w:name w:val="Bordered - Accent 6"/>
    <w:basedOn w:val="9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8">
    <w:name w:val="Footnote Text Char"/>
    <w:link w:val="1019"/>
    <w:uiPriority w:val="99"/>
    <w:rPr>
      <w:sz w:val="18"/>
    </w:rPr>
  </w:style>
  <w:style w:type="paragraph" w:styleId="969">
    <w:name w:val="endnote text"/>
    <w:basedOn w:val="973"/>
    <w:link w:val="970"/>
    <w:uiPriority w:val="99"/>
    <w:semiHidden/>
    <w:unhideWhenUsed/>
    <w:pPr>
      <w:spacing w:after="0" w:line="240" w:lineRule="auto"/>
    </w:pPr>
    <w:rPr>
      <w:sz w:val="20"/>
    </w:rPr>
  </w:style>
  <w:style w:type="character" w:styleId="970">
    <w:name w:val="Endnote Text Char"/>
    <w:link w:val="969"/>
    <w:uiPriority w:val="99"/>
    <w:rPr>
      <w:sz w:val="20"/>
    </w:rPr>
  </w:style>
  <w:style w:type="character" w:styleId="971">
    <w:name w:val="endnote reference"/>
    <w:basedOn w:val="983"/>
    <w:uiPriority w:val="99"/>
    <w:semiHidden/>
    <w:unhideWhenUsed/>
    <w:rPr>
      <w:vertAlign w:val="superscript"/>
    </w:rPr>
  </w:style>
  <w:style w:type="paragraph" w:styleId="972">
    <w:name w:val="TOC Heading"/>
    <w:uiPriority w:val="39"/>
    <w:unhideWhenUsed/>
  </w:style>
  <w:style w:type="paragraph" w:styleId="973" w:default="1">
    <w:name w:val="Normal"/>
    <w:next w:val="985"/>
    <w:uiPriority w:val="0"/>
    <w:qFormat/>
    <w:pPr>
      <w:jc w:val="both"/>
      <w:widowControl w:val="off"/>
    </w:pPr>
    <w:rPr>
      <w:rFonts w:ascii="Calibri" w:hAnsi="Calibri" w:eastAsia="宋体" w:cs="Times New Roman"/>
      <w:sz w:val="21"/>
      <w:szCs w:val="24"/>
      <w:lang w:val="en-US" w:eastAsia="zh-CN" w:bidi="ar-SA"/>
    </w:rPr>
  </w:style>
  <w:style w:type="paragraph" w:styleId="974">
    <w:name w:val="Heading 1"/>
    <w:basedOn w:val="976"/>
    <w:next w:val="973"/>
    <w:link w:val="1044"/>
    <w:uiPriority w:val="9"/>
    <w:qFormat/>
    <w:pPr>
      <w:spacing w:before="340" w:after="330" w:line="576" w:lineRule="auto"/>
      <w:outlineLvl w:val="0"/>
    </w:pPr>
    <w:rPr>
      <w:sz w:val="44"/>
      <w:szCs w:val="44"/>
    </w:rPr>
  </w:style>
  <w:style w:type="paragraph" w:styleId="975">
    <w:name w:val="Heading 2"/>
    <w:basedOn w:val="973"/>
    <w:next w:val="973"/>
    <w:link w:val="1045"/>
    <w:uiPriority w:val="0"/>
    <w:qFormat/>
    <w:pPr>
      <w:keepLines/>
      <w:keepNext/>
      <w:spacing w:before="260" w:after="260" w:line="415" w:lineRule="auto"/>
      <w:outlineLvl w:val="1"/>
    </w:pPr>
    <w:rPr>
      <w:rFonts w:ascii="Arial" w:hAnsi="Arial" w:eastAsia="黑体"/>
      <w:b/>
      <w:bCs/>
      <w:sz w:val="32"/>
      <w:szCs w:val="32"/>
    </w:rPr>
  </w:style>
  <w:style w:type="paragraph" w:styleId="976">
    <w:name w:val="Heading 3"/>
    <w:basedOn w:val="973"/>
    <w:next w:val="973"/>
    <w:link w:val="1184"/>
    <w:uiPriority w:val="9"/>
    <w:qFormat/>
    <w:pPr>
      <w:keepLines/>
      <w:keepNext/>
      <w:spacing w:before="260" w:after="260" w:line="415" w:lineRule="auto"/>
      <w:outlineLvl w:val="2"/>
    </w:pPr>
    <w:rPr>
      <w:b/>
      <w:bCs/>
      <w:sz w:val="32"/>
      <w:szCs w:val="32"/>
    </w:rPr>
  </w:style>
  <w:style w:type="paragraph" w:styleId="977">
    <w:name w:val="Heading 4"/>
    <w:basedOn w:val="973"/>
    <w:next w:val="973"/>
    <w:uiPriority w:val="0"/>
    <w:qFormat/>
    <w:pPr>
      <w:keepLines/>
      <w:keepNext/>
      <w:spacing w:before="280" w:after="290" w:line="376" w:lineRule="auto"/>
      <w:outlineLvl w:val="3"/>
    </w:pPr>
    <w:rPr>
      <w:rFonts w:ascii="Arial" w:hAnsi="Arial" w:eastAsia="黑体"/>
      <w:b/>
      <w:bCs/>
      <w:sz w:val="28"/>
      <w:szCs w:val="28"/>
    </w:rPr>
  </w:style>
  <w:style w:type="paragraph" w:styleId="978">
    <w:name w:val="Heading 5"/>
    <w:basedOn w:val="973"/>
    <w:next w:val="973"/>
    <w:link w:val="1046"/>
    <w:uiPriority w:val="0"/>
    <w:qFormat/>
    <w:pPr>
      <w:jc w:val="left"/>
      <w:keepLines/>
      <w:keepNext/>
      <w:spacing w:before="280" w:after="290" w:line="376" w:lineRule="atLeast"/>
      <w:outlineLvl w:val="4"/>
    </w:pPr>
    <w:rPr>
      <w:rFonts w:ascii="宋体" w:hAnsi="Tms Rmn"/>
      <w:b/>
      <w:sz w:val="28"/>
      <w:szCs w:val="20"/>
    </w:rPr>
  </w:style>
  <w:style w:type="paragraph" w:styleId="979">
    <w:name w:val="Heading 6"/>
    <w:basedOn w:val="973"/>
    <w:next w:val="973"/>
    <w:link w:val="1047"/>
    <w:uiPriority w:val="0"/>
    <w:qFormat/>
    <w:pPr>
      <w:jc w:val="left"/>
      <w:keepLines/>
      <w:keepNext/>
      <w:spacing w:before="240" w:after="64" w:line="320" w:lineRule="atLeast"/>
      <w:outlineLvl w:val="5"/>
    </w:pPr>
    <w:rPr>
      <w:rFonts w:ascii="黑体" w:hAnsi="Tms Rmn" w:eastAsia="黑体"/>
      <w:b/>
      <w:sz w:val="24"/>
      <w:szCs w:val="20"/>
    </w:rPr>
  </w:style>
  <w:style w:type="paragraph" w:styleId="980">
    <w:name w:val="Heading 7"/>
    <w:basedOn w:val="973"/>
    <w:next w:val="973"/>
    <w:link w:val="1048"/>
    <w:uiPriority w:val="0"/>
    <w:qFormat/>
    <w:pPr>
      <w:jc w:val="left"/>
      <w:keepLines/>
      <w:keepNext/>
      <w:spacing w:before="240" w:after="64" w:line="320" w:lineRule="atLeast"/>
      <w:outlineLvl w:val="6"/>
    </w:pPr>
    <w:rPr>
      <w:rFonts w:ascii="宋体" w:hAnsi="Tms Rmn"/>
      <w:b/>
      <w:sz w:val="24"/>
      <w:szCs w:val="20"/>
    </w:rPr>
  </w:style>
  <w:style w:type="paragraph" w:styleId="981">
    <w:name w:val="Heading 8"/>
    <w:basedOn w:val="973"/>
    <w:next w:val="973"/>
    <w:link w:val="1049"/>
    <w:uiPriority w:val="0"/>
    <w:qFormat/>
    <w:pPr>
      <w:keepLines/>
      <w:keepNext/>
      <w:spacing w:before="240" w:after="64" w:line="320" w:lineRule="auto"/>
      <w:outlineLvl w:val="7"/>
    </w:pPr>
    <w:rPr>
      <w:rFonts w:ascii="Arial" w:hAnsi="Arial" w:eastAsia="黑体"/>
      <w:sz w:val="24"/>
    </w:rPr>
  </w:style>
  <w:style w:type="paragraph" w:styleId="982">
    <w:name w:val="Heading 9"/>
    <w:basedOn w:val="973"/>
    <w:next w:val="973"/>
    <w:link w:val="1050"/>
    <w:uiPriority w:val="0"/>
    <w:qFormat/>
    <w:pPr>
      <w:keepLines/>
      <w:keepNext/>
      <w:spacing w:before="240" w:after="64" w:line="320" w:lineRule="auto"/>
      <w:outlineLvl w:val="8"/>
    </w:pPr>
    <w:rPr>
      <w:rFonts w:ascii="Arial" w:hAnsi="Arial" w:eastAsia="黑体"/>
      <w:szCs w:val="21"/>
    </w:rPr>
  </w:style>
  <w:style w:type="character" w:styleId="983" w:default="1">
    <w:name w:val="Default Paragraph Font"/>
    <w:uiPriority w:val="1"/>
    <w:semiHidden/>
    <w:unhideWhenUsed/>
    <w:qFormat/>
  </w:style>
  <w:style w:type="table" w:styleId="984" w:default="1">
    <w:name w:val="Normal Table"/>
    <w:uiPriority w:val="99"/>
    <w:semiHidden/>
    <w:unhideWhenUsed/>
    <w:qFormat/>
    <w:tblPr>
      <w:tblLayout w:type="fixed"/>
      <w:tblCellMar>
        <w:left w:w="108" w:type="dxa"/>
        <w:top w:w="0" w:type="dxa"/>
        <w:right w:w="108" w:type="dxa"/>
        <w:bottom w:w="0" w:type="dxa"/>
      </w:tblCellMar>
    </w:tblPr>
  </w:style>
  <w:style w:type="paragraph" w:styleId="985">
    <w:name w:val="Body Text Indent"/>
    <w:basedOn w:val="973"/>
    <w:next w:val="973"/>
    <w:link w:val="1043"/>
    <w:uiPriority w:val="0"/>
    <w:qFormat/>
    <w:pPr>
      <w:ind w:firstLine="560"/>
      <w:jc w:val="left"/>
      <w:spacing w:line="300" w:lineRule="auto"/>
    </w:pPr>
    <w:rPr>
      <w:sz w:val="28"/>
    </w:rPr>
  </w:style>
  <w:style w:type="paragraph" w:styleId="986">
    <w:name w:val="annotation subject"/>
    <w:basedOn w:val="987"/>
    <w:next w:val="987"/>
    <w:link w:val="1183"/>
    <w:uiPriority w:val="99"/>
    <w:qFormat/>
    <w:rPr>
      <w:b/>
      <w:bCs/>
    </w:rPr>
  </w:style>
  <w:style w:type="paragraph" w:styleId="987">
    <w:name w:val="annotation text"/>
    <w:basedOn w:val="973"/>
    <w:link w:val="1052"/>
    <w:uiPriority w:val="99"/>
    <w:qFormat/>
    <w:pPr>
      <w:jc w:val="left"/>
    </w:pPr>
  </w:style>
  <w:style w:type="paragraph" w:styleId="988">
    <w:name w:val="toc 7"/>
    <w:basedOn w:val="973"/>
    <w:next w:val="973"/>
    <w:uiPriority w:val="0"/>
    <w:qFormat/>
    <w:pPr>
      <w:ind w:left="2520"/>
    </w:pPr>
    <w:rPr>
      <w:rFonts w:eastAsia="楷体_GB2312"/>
      <w:sz w:val="26"/>
      <w:szCs w:val="20"/>
    </w:rPr>
  </w:style>
  <w:style w:type="paragraph" w:styleId="989">
    <w:name w:val="Body Text First Indent"/>
    <w:basedOn w:val="990"/>
    <w:next w:val="991"/>
    <w:link w:val="1061"/>
    <w:uiPriority w:val="0"/>
    <w:qFormat/>
    <w:pPr>
      <w:ind w:firstLine="420"/>
      <w:spacing w:after="120"/>
      <w:tabs>
        <w:tab w:val="left" w:pos="5250" w:leader="none"/>
      </w:tabs>
    </w:pPr>
    <w:rPr>
      <w:rFonts w:eastAsia="楷体_GB2312"/>
      <w:sz w:val="26"/>
      <w:szCs w:val="20"/>
    </w:rPr>
  </w:style>
  <w:style w:type="paragraph" w:styleId="990">
    <w:name w:val="Body Text"/>
    <w:basedOn w:val="973"/>
    <w:next w:val="973"/>
    <w:link w:val="1053"/>
    <w:uiPriority w:val="99"/>
    <w:qFormat/>
    <w:pPr>
      <w:tabs>
        <w:tab w:val="left" w:pos="5250" w:leader="none"/>
      </w:tabs>
    </w:pPr>
    <w:rPr>
      <w:sz w:val="28"/>
    </w:rPr>
  </w:style>
  <w:style w:type="paragraph" w:styleId="991">
    <w:name w:val="toc 6"/>
    <w:basedOn w:val="973"/>
    <w:next w:val="973"/>
    <w:uiPriority w:val="39"/>
    <w:qFormat/>
    <w:pPr>
      <w:ind w:left="2100"/>
    </w:pPr>
    <w:rPr>
      <w:rFonts w:eastAsia="楷体_GB2312"/>
      <w:sz w:val="26"/>
      <w:szCs w:val="20"/>
    </w:rPr>
  </w:style>
  <w:style w:type="paragraph" w:styleId="992">
    <w:name w:val="index 8"/>
    <w:basedOn w:val="973"/>
    <w:next w:val="973"/>
    <w:uiPriority w:val="0"/>
    <w:qFormat/>
    <w:pPr>
      <w:ind w:left="2940"/>
    </w:pPr>
    <w:rPr>
      <w:rFonts w:eastAsia="楷体_GB2312"/>
      <w:sz w:val="26"/>
      <w:szCs w:val="20"/>
    </w:rPr>
  </w:style>
  <w:style w:type="paragraph" w:styleId="993">
    <w:name w:val="List Number"/>
    <w:basedOn w:val="973"/>
    <w:uiPriority w:val="0"/>
    <w:qFormat/>
    <w:pPr>
      <w:ind w:left="1125" w:hanging="555"/>
      <w:tabs>
        <w:tab w:val="left" w:pos="1125" w:leader="none"/>
      </w:tabs>
    </w:pPr>
  </w:style>
  <w:style w:type="paragraph" w:styleId="994">
    <w:name w:val="Normal Indent"/>
    <w:basedOn w:val="973"/>
    <w:next w:val="973"/>
    <w:link w:val="1051"/>
    <w:uiPriority w:val="0"/>
    <w:qFormat/>
    <w:pPr>
      <w:ind w:firstLine="420"/>
      <w:jc w:val="left"/>
    </w:pPr>
    <w:rPr>
      <w:rFonts w:eastAsia="楷体_GB2312"/>
      <w:sz w:val="24"/>
      <w:szCs w:val="20"/>
    </w:rPr>
  </w:style>
  <w:style w:type="paragraph" w:styleId="995">
    <w:name w:val="index 5"/>
    <w:basedOn w:val="973"/>
    <w:next w:val="973"/>
    <w:uiPriority w:val="0"/>
    <w:qFormat/>
    <w:pPr>
      <w:ind w:left="1680"/>
    </w:pPr>
    <w:rPr>
      <w:rFonts w:eastAsia="楷体_GB2312"/>
      <w:sz w:val="26"/>
      <w:szCs w:val="20"/>
    </w:rPr>
  </w:style>
  <w:style w:type="paragraph" w:styleId="996">
    <w:name w:val="Document Map"/>
    <w:basedOn w:val="973"/>
    <w:uiPriority w:val="0"/>
    <w:semiHidden/>
    <w:qFormat/>
    <w:pPr>
      <w:shd w:val="clear" w:color="auto" w:fill="000080"/>
    </w:pPr>
  </w:style>
  <w:style w:type="paragraph" w:styleId="997">
    <w:name w:val="index 6"/>
    <w:basedOn w:val="973"/>
    <w:next w:val="973"/>
    <w:uiPriority w:val="0"/>
    <w:qFormat/>
    <w:pPr>
      <w:ind w:left="2100"/>
    </w:pPr>
    <w:rPr>
      <w:rFonts w:eastAsia="楷体_GB2312"/>
      <w:sz w:val="26"/>
      <w:szCs w:val="20"/>
    </w:rPr>
  </w:style>
  <w:style w:type="paragraph" w:styleId="998">
    <w:name w:val="List 2"/>
    <w:basedOn w:val="973"/>
    <w:uiPriority w:val="0"/>
    <w:qFormat/>
    <w:pPr>
      <w:ind w:left="840" w:hanging="420"/>
    </w:pPr>
  </w:style>
  <w:style w:type="paragraph" w:styleId="999">
    <w:name w:val="Block Text"/>
    <w:basedOn w:val="973"/>
    <w:uiPriority w:val="0"/>
    <w:qFormat/>
    <w:pPr>
      <w:ind w:left="630" w:right="-609" w:firstLine="420"/>
      <w:spacing w:line="360" w:lineRule="auto"/>
    </w:pPr>
    <w:rPr>
      <w:rFonts w:hint="eastAsia" w:ascii="仿宋_GB2312" w:eastAsia="仿宋_GB2312"/>
      <w:szCs w:val="20"/>
    </w:rPr>
  </w:style>
  <w:style w:type="paragraph" w:styleId="1000">
    <w:name w:val="index 4"/>
    <w:basedOn w:val="973"/>
    <w:next w:val="973"/>
    <w:uiPriority w:val="0"/>
    <w:qFormat/>
    <w:pPr>
      <w:ind w:left="1260"/>
    </w:pPr>
    <w:rPr>
      <w:rFonts w:eastAsia="楷体_GB2312"/>
      <w:sz w:val="26"/>
      <w:szCs w:val="20"/>
    </w:rPr>
  </w:style>
  <w:style w:type="paragraph" w:styleId="1001">
    <w:name w:val="toc 5"/>
    <w:basedOn w:val="973"/>
    <w:next w:val="973"/>
    <w:uiPriority w:val="0"/>
    <w:qFormat/>
    <w:pPr>
      <w:ind w:left="1680"/>
    </w:pPr>
    <w:rPr>
      <w:rFonts w:eastAsia="楷体_GB2312"/>
      <w:sz w:val="26"/>
      <w:szCs w:val="20"/>
    </w:rPr>
  </w:style>
  <w:style w:type="paragraph" w:styleId="1002">
    <w:name w:val="toc 3"/>
    <w:basedOn w:val="973"/>
    <w:next w:val="973"/>
    <w:uiPriority w:val="39"/>
    <w:qFormat/>
    <w:pPr>
      <w:ind w:left="840"/>
    </w:pPr>
    <w:rPr>
      <w:szCs w:val="20"/>
    </w:rPr>
  </w:style>
  <w:style w:type="paragraph" w:styleId="1003">
    <w:name w:val="Plain Text"/>
    <w:basedOn w:val="973"/>
    <w:link w:val="1054"/>
    <w:uiPriority w:val="0"/>
    <w:qFormat/>
    <w:rPr>
      <w:rFonts w:ascii="宋体" w:hAnsi="Courier New" w:eastAsia="楷体_GB2312"/>
      <w:sz w:val="28"/>
      <w:szCs w:val="20"/>
    </w:rPr>
  </w:style>
  <w:style w:type="paragraph" w:styleId="1004">
    <w:name w:val="toc 8"/>
    <w:basedOn w:val="973"/>
    <w:next w:val="973"/>
    <w:uiPriority w:val="0"/>
    <w:qFormat/>
    <w:pPr>
      <w:ind w:left="2940"/>
    </w:pPr>
    <w:rPr>
      <w:rFonts w:eastAsia="楷体_GB2312"/>
      <w:sz w:val="26"/>
      <w:szCs w:val="20"/>
    </w:rPr>
  </w:style>
  <w:style w:type="paragraph" w:styleId="1005">
    <w:name w:val="index 3"/>
    <w:basedOn w:val="973"/>
    <w:next w:val="973"/>
    <w:uiPriority w:val="0"/>
    <w:qFormat/>
    <w:pPr>
      <w:ind w:left="840"/>
    </w:pPr>
    <w:rPr>
      <w:rFonts w:eastAsia="楷体_GB2312"/>
      <w:sz w:val="26"/>
      <w:szCs w:val="20"/>
    </w:rPr>
  </w:style>
  <w:style w:type="paragraph" w:styleId="1006">
    <w:name w:val="Date"/>
    <w:basedOn w:val="973"/>
    <w:next w:val="973"/>
    <w:link w:val="1055"/>
    <w:uiPriority w:val="99"/>
    <w:qFormat/>
    <w:rPr>
      <w:szCs w:val="20"/>
    </w:rPr>
  </w:style>
  <w:style w:type="paragraph" w:styleId="1007">
    <w:name w:val="Body Text Indent 2"/>
    <w:basedOn w:val="973"/>
    <w:link w:val="1056"/>
    <w:uiPriority w:val="0"/>
    <w:qFormat/>
    <w:pPr>
      <w:ind w:left="840"/>
      <w:spacing w:line="360" w:lineRule="auto"/>
      <w:tabs>
        <w:tab w:val="left" w:pos="630" w:leader="none"/>
      </w:tabs>
    </w:pPr>
    <w:rPr>
      <w:rFonts w:ascii="宋体" w:hAnsi="宋体"/>
    </w:rPr>
  </w:style>
  <w:style w:type="paragraph" w:styleId="1008">
    <w:name w:val="Balloon Text"/>
    <w:basedOn w:val="973"/>
    <w:link w:val="1188"/>
    <w:uiPriority w:val="99"/>
    <w:qFormat/>
    <w:rPr>
      <w:sz w:val="18"/>
      <w:szCs w:val="18"/>
    </w:rPr>
  </w:style>
  <w:style w:type="paragraph" w:styleId="1009">
    <w:name w:val="Footer"/>
    <w:basedOn w:val="973"/>
    <w:next w:val="973"/>
    <w:link w:val="1176"/>
    <w:uiPriority w:val="99"/>
    <w:qFormat/>
    <w:pPr>
      <w:jc w:val="left"/>
      <w:tabs>
        <w:tab w:val="center" w:pos="4153" w:leader="none"/>
        <w:tab w:val="right" w:pos="8306" w:leader="none"/>
      </w:tabs>
    </w:pPr>
    <w:rPr>
      <w:sz w:val="18"/>
      <w:szCs w:val="18"/>
    </w:rPr>
  </w:style>
  <w:style w:type="paragraph" w:styleId="1010">
    <w:name w:val="envelope return"/>
    <w:basedOn w:val="973"/>
    <w:uiPriority w:val="0"/>
    <w:qFormat/>
    <w:rPr>
      <w:rFonts w:ascii="Arial" w:hAnsi="Arial"/>
    </w:rPr>
  </w:style>
  <w:style w:type="paragraph" w:styleId="1011">
    <w:name w:val="Body Text First Indent 2"/>
    <w:basedOn w:val="985"/>
    <w:uiPriority w:val="0"/>
    <w:qFormat/>
    <w:pPr>
      <w:ind w:left="420" w:firstLine="200"/>
      <w:spacing w:after="120" w:line="240" w:lineRule="auto"/>
    </w:pPr>
    <w:rPr>
      <w:rFonts w:ascii="Times New Roman" w:hAnsi="Times New Roman"/>
      <w:sz w:val="21"/>
      <w:szCs w:val="20"/>
    </w:rPr>
  </w:style>
  <w:style w:type="paragraph" w:styleId="1012">
    <w:name w:val="Header"/>
    <w:basedOn w:val="973"/>
    <w:next w:val="990"/>
    <w:link w:val="1187"/>
    <w:uiPriority w:val="99"/>
    <w:qFormat/>
    <w:pPr>
      <w:jc w:val="center"/>
      <w:tabs>
        <w:tab w:val="center" w:pos="4153" w:leader="none"/>
        <w:tab w:val="right" w:pos="8306" w:leader="none"/>
      </w:tabs>
      <w:pBdr>
        <w:bottom w:val="single" w:color="auto" w:sz="6" w:space="1"/>
      </w:pBdr>
    </w:pPr>
    <w:rPr>
      <w:sz w:val="18"/>
      <w:szCs w:val="18"/>
    </w:rPr>
  </w:style>
  <w:style w:type="paragraph" w:styleId="1013">
    <w:name w:val="toc 1"/>
    <w:basedOn w:val="973"/>
    <w:next w:val="973"/>
    <w:uiPriority w:val="39"/>
    <w:qFormat/>
    <w:pPr>
      <w:numPr>
        <w:ilvl w:val="0"/>
        <w:numId w:val="1"/>
      </w:numPr>
      <w:ind w:left="567" w:hanging="567"/>
      <w:spacing w:line="400" w:lineRule="exact"/>
      <w:tabs>
        <w:tab w:val="left" w:pos="567" w:leader="none"/>
      </w:tabs>
      <w:outlineLvl w:val="1"/>
    </w:pPr>
    <w:rPr>
      <w:rFonts w:ascii="宋体" w:hAnsi="宋体"/>
      <w:b/>
      <w:szCs w:val="21"/>
    </w:rPr>
  </w:style>
  <w:style w:type="paragraph" w:styleId="1014">
    <w:name w:val="toc 4"/>
    <w:basedOn w:val="973"/>
    <w:next w:val="973"/>
    <w:uiPriority w:val="0"/>
    <w:qFormat/>
    <w:pPr>
      <w:ind w:left="1260"/>
    </w:pPr>
    <w:rPr>
      <w:rFonts w:eastAsia="楷体_GB2312"/>
      <w:sz w:val="26"/>
      <w:szCs w:val="20"/>
    </w:rPr>
  </w:style>
  <w:style w:type="paragraph" w:styleId="1015">
    <w:name w:val="index heading"/>
    <w:basedOn w:val="973"/>
    <w:next w:val="1016"/>
    <w:uiPriority w:val="0"/>
    <w:semiHidden/>
    <w:qFormat/>
    <w:rPr>
      <w:rFonts w:eastAsia="楷体_GB2312"/>
      <w:sz w:val="26"/>
      <w:szCs w:val="20"/>
    </w:rPr>
  </w:style>
  <w:style w:type="paragraph" w:styleId="1016">
    <w:name w:val="index 1"/>
    <w:basedOn w:val="973"/>
    <w:next w:val="973"/>
    <w:uiPriority w:val="0"/>
    <w:semiHidden/>
    <w:qFormat/>
  </w:style>
  <w:style w:type="paragraph" w:styleId="1017">
    <w:name w:val="Subtitle"/>
    <w:basedOn w:val="973"/>
    <w:next w:val="973"/>
    <w:uiPriority w:val="0"/>
    <w:qFormat/>
    <w:pPr>
      <w:jc w:val="left"/>
      <w:outlineLvl w:val="1"/>
    </w:pPr>
    <w:rPr>
      <w:rFonts w:ascii="Calibri Light" w:hAnsi="Calibri Light" w:eastAsia="仿宋"/>
      <w:b/>
      <w:bCs/>
      <w:sz w:val="28"/>
      <w:szCs w:val="32"/>
    </w:rPr>
  </w:style>
  <w:style w:type="paragraph" w:styleId="1018">
    <w:name w:val="List"/>
    <w:basedOn w:val="973"/>
    <w:uiPriority w:val="0"/>
    <w:qFormat/>
    <w:pPr>
      <w:ind w:left="420" w:hanging="420"/>
    </w:pPr>
  </w:style>
  <w:style w:type="paragraph" w:styleId="1019">
    <w:name w:val="footnote text"/>
    <w:basedOn w:val="973"/>
    <w:link w:val="1057"/>
    <w:uiPriority w:val="0"/>
    <w:qFormat/>
    <w:pPr>
      <w:jc w:val="left"/>
    </w:pPr>
    <w:rPr>
      <w:rFonts w:eastAsia="楷体_GB2312"/>
      <w:sz w:val="18"/>
      <w:szCs w:val="20"/>
    </w:rPr>
  </w:style>
  <w:style w:type="paragraph" w:styleId="1020">
    <w:name w:val="Body Text Indent 3"/>
    <w:basedOn w:val="973"/>
    <w:uiPriority w:val="0"/>
    <w:qFormat/>
    <w:pPr>
      <w:ind w:firstLine="480"/>
      <w:spacing w:line="360" w:lineRule="auto"/>
      <w:widowControl/>
    </w:pPr>
    <w:rPr>
      <w:sz w:val="24"/>
    </w:rPr>
  </w:style>
  <w:style w:type="paragraph" w:styleId="1021">
    <w:name w:val="index 7"/>
    <w:basedOn w:val="973"/>
    <w:next w:val="973"/>
    <w:uiPriority w:val="0"/>
    <w:qFormat/>
    <w:pPr>
      <w:ind w:left="2520"/>
    </w:pPr>
    <w:rPr>
      <w:rFonts w:eastAsia="楷体_GB2312"/>
      <w:sz w:val="26"/>
      <w:szCs w:val="20"/>
    </w:rPr>
  </w:style>
  <w:style w:type="paragraph" w:styleId="1022">
    <w:name w:val="index 9"/>
    <w:basedOn w:val="973"/>
    <w:next w:val="973"/>
    <w:uiPriority w:val="0"/>
    <w:qFormat/>
    <w:pPr>
      <w:ind w:left="3360"/>
    </w:pPr>
    <w:rPr>
      <w:rFonts w:eastAsia="楷体_GB2312"/>
      <w:sz w:val="26"/>
      <w:szCs w:val="20"/>
    </w:rPr>
  </w:style>
  <w:style w:type="paragraph" w:styleId="1023">
    <w:name w:val="table of figures"/>
    <w:basedOn w:val="973"/>
    <w:next w:val="973"/>
    <w:uiPriority w:val="0"/>
    <w:qFormat/>
    <w:pPr>
      <w:ind w:left="420" w:hanging="420"/>
      <w:jc w:val="left"/>
    </w:pPr>
    <w:rPr>
      <w:rFonts w:eastAsia="楷体_GB2312"/>
      <w:smallCaps/>
      <w:sz w:val="24"/>
      <w:szCs w:val="20"/>
    </w:rPr>
  </w:style>
  <w:style w:type="paragraph" w:styleId="1024">
    <w:name w:val="toc 2"/>
    <w:basedOn w:val="973"/>
    <w:next w:val="973"/>
    <w:uiPriority w:val="39"/>
    <w:qFormat/>
    <w:pPr>
      <w:ind w:left="420"/>
      <w:spacing w:line="400" w:lineRule="exact"/>
      <w:tabs>
        <w:tab w:val="right" w:pos="9628" w:leader="dot"/>
      </w:tabs>
    </w:pPr>
    <w:rPr>
      <w:b/>
      <w:sz w:val="24"/>
      <w:szCs w:val="20"/>
    </w:rPr>
  </w:style>
  <w:style w:type="paragraph" w:styleId="1025">
    <w:name w:val="toc 9"/>
    <w:basedOn w:val="973"/>
    <w:next w:val="973"/>
    <w:uiPriority w:val="0"/>
    <w:qFormat/>
    <w:pPr>
      <w:ind w:left="3360"/>
    </w:pPr>
    <w:rPr>
      <w:rFonts w:eastAsia="楷体_GB2312"/>
      <w:sz w:val="26"/>
      <w:szCs w:val="20"/>
    </w:rPr>
  </w:style>
  <w:style w:type="paragraph" w:styleId="1026">
    <w:name w:val="Body Text 2"/>
    <w:basedOn w:val="973"/>
    <w:link w:val="1058"/>
    <w:uiPriority w:val="0"/>
    <w:qFormat/>
    <w:pPr>
      <w:spacing w:after="120" w:line="480" w:lineRule="auto"/>
    </w:pPr>
    <w:rPr>
      <w:rFonts w:eastAsia="楷体_GB2312"/>
      <w:sz w:val="26"/>
      <w:szCs w:val="20"/>
    </w:rPr>
  </w:style>
  <w:style w:type="paragraph" w:styleId="1027">
    <w:name w:val="HTML Preformatted"/>
    <w:basedOn w:val="973"/>
    <w:link w:val="105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28">
    <w:name w:val="Normal (Web)"/>
    <w:basedOn w:val="973"/>
    <w:uiPriority w:val="0"/>
    <w:qFormat/>
    <w:pPr>
      <w:jc w:val="left"/>
      <w:spacing w:before="100" w:beforeAutospacing="1" w:after="100" w:afterAutospacing="1"/>
      <w:widowControl/>
    </w:pPr>
    <w:rPr>
      <w:rFonts w:ascii="Arial Unicode MS" w:hAnsi="Arial Unicode MS" w:eastAsia="Times New Roman"/>
      <w:sz w:val="24"/>
    </w:rPr>
  </w:style>
  <w:style w:type="paragraph" w:styleId="1029">
    <w:name w:val="index 2"/>
    <w:basedOn w:val="973"/>
    <w:next w:val="973"/>
    <w:uiPriority w:val="0"/>
    <w:qFormat/>
    <w:pPr>
      <w:ind w:left="420"/>
    </w:pPr>
    <w:rPr>
      <w:rFonts w:eastAsia="楷体_GB2312"/>
      <w:sz w:val="26"/>
      <w:szCs w:val="20"/>
    </w:rPr>
  </w:style>
  <w:style w:type="paragraph" w:styleId="1030">
    <w:name w:val="Title"/>
    <w:basedOn w:val="973"/>
    <w:next w:val="973"/>
    <w:link w:val="1060"/>
    <w:uiPriority w:val="0"/>
    <w:qFormat/>
    <w:pPr>
      <w:jc w:val="center"/>
      <w:spacing w:before="240" w:after="60"/>
      <w:outlineLvl w:val="0"/>
    </w:pPr>
    <w:rPr>
      <w:rFonts w:ascii="等线 Light" w:hAnsi="等线 Light"/>
      <w:b/>
      <w:bCs/>
      <w:sz w:val="32"/>
      <w:szCs w:val="32"/>
    </w:rPr>
  </w:style>
  <w:style w:type="character" w:styleId="1031">
    <w:name w:val="Strong"/>
    <w:uiPriority w:val="0"/>
    <w:qFormat/>
    <w:rPr>
      <w:b/>
      <w:bCs/>
    </w:rPr>
  </w:style>
  <w:style w:type="character" w:styleId="1032">
    <w:name w:val="page number"/>
    <w:basedOn w:val="983"/>
    <w:uiPriority w:val="0"/>
    <w:qFormat/>
  </w:style>
  <w:style w:type="character" w:styleId="1033">
    <w:name w:val="FollowedHyperlink"/>
    <w:uiPriority w:val="99"/>
    <w:qFormat/>
    <w:rPr>
      <w:color w:val="333333"/>
      <w:u w:val="none"/>
    </w:rPr>
  </w:style>
  <w:style w:type="character" w:styleId="1034">
    <w:name w:val="Emphasis"/>
    <w:uiPriority w:val="0"/>
    <w:qFormat/>
    <w:rPr>
      <w:color w:val="cc0000"/>
    </w:rPr>
  </w:style>
  <w:style w:type="character" w:styleId="1035">
    <w:name w:val="Hyperlink"/>
    <w:uiPriority w:val="99"/>
    <w:qFormat/>
    <w:rPr>
      <w:color w:val="333333"/>
      <w:u w:val="none"/>
    </w:rPr>
  </w:style>
  <w:style w:type="character" w:styleId="1036">
    <w:name w:val="annotation reference"/>
    <w:uiPriority w:val="0"/>
    <w:qFormat/>
    <w:rPr>
      <w:sz w:val="21"/>
      <w:szCs w:val="21"/>
    </w:rPr>
  </w:style>
  <w:style w:type="character" w:styleId="1037">
    <w:name w:val="footnote reference"/>
    <w:uiPriority w:val="0"/>
    <w:qFormat/>
    <w:rPr>
      <w:vertAlign w:val="superscript"/>
    </w:rPr>
  </w:style>
  <w:style w:type="table" w:styleId="1038">
    <w:name w:val="Table Grid"/>
    <w:basedOn w:val="98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39">
    <w:name w:val="Table Classic 4"/>
    <w:basedOn w:val="984"/>
    <w:uiPriority w:val="0"/>
    <w:qFormat/>
    <w:pPr>
      <w:jc w:val="both"/>
      <w:widowControl w:val="off"/>
    </w:pPr>
    <w:tblPr>
      <w:tblBorders>
        <w:top w:val="single" w:color="000000" w:sz="12" w:space="0"/>
        <w:left w:val="single" w:color="000000" w:sz="6" w:space="0"/>
        <w:bottom w:val="single" w:color="000000" w:sz="12" w:space="0"/>
        <w:right w:val="single" w:color="000000" w:sz="6" w:space="0"/>
      </w:tblBorders>
      <w:tblLayout w:type="fixed"/>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40" w:customStyle="1">
    <w:name w:val="段"/>
    <w:next w:val="973"/>
    <w:uiPriority w:val="0"/>
    <w:qFormat/>
    <w:pPr>
      <w:jc w:val="both"/>
      <w:spacing w:line="360" w:lineRule="auto"/>
    </w:pPr>
    <w:rPr>
      <w:rFonts w:ascii="宋体" w:hAnsi="宋体" w:eastAsia="宋体" w:cs="Times New Roman"/>
      <w:sz w:val="24"/>
      <w:szCs w:val="22"/>
      <w:lang w:val="en-US" w:eastAsia="zh-CN" w:bidi="ar-SA"/>
    </w:rPr>
  </w:style>
  <w:style w:type="paragraph" w:styleId="1041" w:customStyle="1">
    <w:name w:val="首行缩进"/>
    <w:basedOn w:val="973"/>
    <w:uiPriority w:val="0"/>
    <w:qFormat/>
    <w:pPr>
      <w:ind w:firstLine="480"/>
      <w:jc w:val="left"/>
      <w:spacing w:line="360" w:lineRule="auto"/>
    </w:pPr>
    <w:rPr>
      <w:rFonts w:ascii="宋体" w:hAnsi="宋体"/>
      <w:sz w:val="24"/>
    </w:rPr>
  </w:style>
  <w:style w:type="paragraph" w:styleId="1042"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43" w:customStyle="1">
    <w:name w:val="正文文本缩进 字符"/>
    <w:link w:val="985"/>
    <w:uiPriority w:val="0"/>
    <w:qFormat/>
    <w:rPr>
      <w:sz w:val="28"/>
      <w:szCs w:val="24"/>
    </w:rPr>
  </w:style>
  <w:style w:type="character" w:styleId="1044" w:customStyle="1">
    <w:name w:val="标题 1 字符1"/>
    <w:link w:val="974"/>
    <w:uiPriority w:val="0"/>
    <w:qFormat/>
    <w:rPr>
      <w:b/>
      <w:bCs/>
      <w:sz w:val="44"/>
      <w:szCs w:val="44"/>
    </w:rPr>
  </w:style>
  <w:style w:type="character" w:styleId="1045" w:customStyle="1">
    <w:name w:val="标题 2 字符"/>
    <w:link w:val="975"/>
    <w:uiPriority w:val="0"/>
    <w:qFormat/>
    <w:rPr>
      <w:rFonts w:ascii="Arial" w:hAnsi="Arial" w:eastAsia="黑体"/>
      <w:b/>
      <w:bCs/>
      <w:sz w:val="32"/>
      <w:szCs w:val="32"/>
    </w:rPr>
  </w:style>
  <w:style w:type="character" w:styleId="1046" w:customStyle="1">
    <w:name w:val="标题 5 字符"/>
    <w:link w:val="978"/>
    <w:uiPriority w:val="0"/>
    <w:qFormat/>
    <w:rPr>
      <w:rFonts w:ascii="宋体" w:hAnsi="Tms Rmn"/>
      <w:b/>
      <w:sz w:val="28"/>
    </w:rPr>
  </w:style>
  <w:style w:type="character" w:styleId="1047" w:customStyle="1">
    <w:name w:val="标题 6 字符"/>
    <w:link w:val="979"/>
    <w:uiPriority w:val="0"/>
    <w:qFormat/>
    <w:rPr>
      <w:rFonts w:ascii="黑体" w:hAnsi="Tms Rmn" w:eastAsia="黑体"/>
      <w:b/>
      <w:sz w:val="24"/>
    </w:rPr>
  </w:style>
  <w:style w:type="character" w:styleId="1048" w:customStyle="1">
    <w:name w:val="标题 7 字符"/>
    <w:link w:val="980"/>
    <w:uiPriority w:val="0"/>
    <w:qFormat/>
    <w:rPr>
      <w:rFonts w:ascii="宋体" w:hAnsi="Tms Rmn"/>
      <w:b/>
      <w:sz w:val="24"/>
    </w:rPr>
  </w:style>
  <w:style w:type="character" w:styleId="1049" w:customStyle="1">
    <w:name w:val="标题 8 字符"/>
    <w:link w:val="981"/>
    <w:uiPriority w:val="0"/>
    <w:qFormat/>
    <w:rPr>
      <w:rFonts w:ascii="Arial" w:hAnsi="Arial" w:eastAsia="黑体"/>
      <w:sz w:val="24"/>
      <w:szCs w:val="24"/>
    </w:rPr>
  </w:style>
  <w:style w:type="character" w:styleId="1050" w:customStyle="1">
    <w:name w:val="标题 9 字符"/>
    <w:link w:val="982"/>
    <w:uiPriority w:val="0"/>
    <w:qFormat/>
    <w:rPr>
      <w:rFonts w:ascii="Arial" w:hAnsi="Arial" w:eastAsia="黑体"/>
      <w:sz w:val="21"/>
      <w:szCs w:val="21"/>
    </w:rPr>
  </w:style>
  <w:style w:type="character" w:styleId="1051" w:customStyle="1">
    <w:name w:val="正文缩进 字符1"/>
    <w:link w:val="994"/>
    <w:uiPriority w:val="0"/>
    <w:qFormat/>
    <w:rPr>
      <w:rFonts w:eastAsia="楷体_GB2312"/>
      <w:sz w:val="24"/>
      <w:lang w:val="en-US" w:eastAsia="zh-CN" w:bidi="ar-SA"/>
    </w:rPr>
  </w:style>
  <w:style w:type="character" w:styleId="1052" w:customStyle="1">
    <w:name w:val="批注文字 字符1"/>
    <w:link w:val="987"/>
    <w:uiPriority w:val="99"/>
    <w:qFormat/>
    <w:rPr>
      <w:sz w:val="21"/>
      <w:szCs w:val="24"/>
    </w:rPr>
  </w:style>
  <w:style w:type="character" w:styleId="1053" w:customStyle="1">
    <w:name w:val="正文文本 字符"/>
    <w:link w:val="990"/>
    <w:uiPriority w:val="99"/>
    <w:qFormat/>
    <w:rPr>
      <w:sz w:val="28"/>
      <w:szCs w:val="24"/>
    </w:rPr>
  </w:style>
  <w:style w:type="character" w:styleId="1054" w:customStyle="1">
    <w:name w:val="纯文本 字符"/>
    <w:link w:val="1003"/>
    <w:uiPriority w:val="0"/>
    <w:qFormat/>
    <w:rPr>
      <w:rFonts w:ascii="宋体" w:hAnsi="Courier New" w:eastAsia="楷体_GB2312"/>
      <w:sz w:val="28"/>
    </w:rPr>
  </w:style>
  <w:style w:type="character" w:styleId="1055" w:customStyle="1">
    <w:name w:val="日期 字符"/>
    <w:link w:val="1006"/>
    <w:uiPriority w:val="99"/>
    <w:qFormat/>
    <w:rPr>
      <w:sz w:val="21"/>
    </w:rPr>
  </w:style>
  <w:style w:type="character" w:styleId="1056" w:customStyle="1">
    <w:name w:val="正文文本缩进 2 字符"/>
    <w:link w:val="1007"/>
    <w:uiPriority w:val="0"/>
    <w:qFormat/>
    <w:rPr>
      <w:rFonts w:ascii="宋体" w:hAnsi="宋体"/>
      <w:sz w:val="21"/>
      <w:szCs w:val="24"/>
    </w:rPr>
  </w:style>
  <w:style w:type="character" w:styleId="1057" w:customStyle="1">
    <w:name w:val="脚注文本 字符"/>
    <w:link w:val="1019"/>
    <w:uiPriority w:val="0"/>
    <w:qFormat/>
    <w:rPr>
      <w:rFonts w:eastAsia="楷体_GB2312"/>
      <w:sz w:val="18"/>
    </w:rPr>
  </w:style>
  <w:style w:type="character" w:styleId="1058" w:customStyle="1">
    <w:name w:val="正文文本 2 字符"/>
    <w:link w:val="1026"/>
    <w:uiPriority w:val="0"/>
    <w:qFormat/>
    <w:rPr>
      <w:rFonts w:eastAsia="楷体_GB2312"/>
      <w:sz w:val="26"/>
    </w:rPr>
  </w:style>
  <w:style w:type="character" w:styleId="1059" w:customStyle="1">
    <w:name w:val="HTML 预设格式 字符"/>
    <w:link w:val="1027"/>
    <w:uiPriority w:val="99"/>
    <w:qFormat/>
    <w:rPr>
      <w:rFonts w:ascii="宋体" w:hAnsi="宋体" w:cs="宋体"/>
      <w:sz w:val="24"/>
      <w:szCs w:val="24"/>
    </w:rPr>
  </w:style>
  <w:style w:type="character" w:styleId="1060" w:customStyle="1">
    <w:name w:val="标题 字符"/>
    <w:link w:val="1030"/>
    <w:uiPriority w:val="0"/>
    <w:qFormat/>
    <w:rPr>
      <w:rFonts w:ascii="等线 Light" w:hAnsi="等线 Light"/>
      <w:b/>
      <w:bCs/>
      <w:sz w:val="32"/>
      <w:szCs w:val="32"/>
    </w:rPr>
  </w:style>
  <w:style w:type="character" w:styleId="1061" w:customStyle="1">
    <w:name w:val="正文文本首行缩进 字符"/>
    <w:link w:val="989"/>
    <w:uiPriority w:val="0"/>
    <w:qFormat/>
    <w:rPr>
      <w:rFonts w:eastAsia="楷体_GB2312"/>
      <w:sz w:val="26"/>
      <w:szCs w:val="24"/>
    </w:rPr>
  </w:style>
  <w:style w:type="character" w:styleId="1062" w:customStyle="1">
    <w:name w:val="正文缩进 字符"/>
    <w:uiPriority w:val="0"/>
    <w:qFormat/>
    <w:rPr>
      <w:rFonts w:eastAsia="楷体_GB2312"/>
      <w:sz w:val="24"/>
      <w:lang w:val="en-US" w:eastAsia="zh-CN" w:bidi="ar-SA"/>
    </w:rPr>
  </w:style>
  <w:style w:type="character" w:styleId="1063" w:customStyle="1">
    <w:name w:val="Char Char4"/>
    <w:uiPriority w:val="0"/>
    <w:qFormat/>
    <w:rPr>
      <w:b/>
      <w:bCs/>
      <w:sz w:val="21"/>
      <w:szCs w:val="24"/>
    </w:rPr>
  </w:style>
  <w:style w:type="character" w:styleId="1064" w:customStyle="1">
    <w:name w:val="Char Char"/>
    <w:uiPriority w:val="0"/>
    <w:qFormat/>
    <w:rPr>
      <w:sz w:val="18"/>
      <w:szCs w:val="18"/>
    </w:rPr>
  </w:style>
  <w:style w:type="character" w:styleId="1065" w:customStyle="1">
    <w:name w:val="Andy_2级 Char"/>
    <w:link w:val="1066"/>
    <w:uiPriority w:val="0"/>
    <w:qFormat/>
    <w:rPr>
      <w:rFonts w:ascii="Calibri" w:hAnsi="Calibri"/>
      <w:sz w:val="24"/>
    </w:rPr>
  </w:style>
  <w:style w:type="paragraph" w:styleId="1066" w:customStyle="1">
    <w:name w:val="Andy_2级"/>
    <w:basedOn w:val="1067"/>
    <w:link w:val="1065"/>
    <w:uiPriority w:val="0"/>
    <w:qFormat/>
    <w:pPr>
      <w:ind w:firstLine="510"/>
    </w:pPr>
    <w:rPr>
      <w:szCs w:val="20"/>
    </w:rPr>
  </w:style>
  <w:style w:type="paragraph" w:styleId="1067" w:customStyle="1">
    <w:name w:val="Andy_二级"/>
    <w:basedOn w:val="973"/>
    <w:uiPriority w:val="0"/>
    <w:qFormat/>
    <w:pPr>
      <w:numPr>
        <w:ilvl w:val="1"/>
        <w:numId w:val="2"/>
      </w:numPr>
      <w:ind w:left="0" w:firstLine="0"/>
      <w:spacing w:line="360" w:lineRule="auto"/>
    </w:pPr>
    <w:rPr>
      <w:sz w:val="24"/>
      <w:szCs w:val="22"/>
    </w:rPr>
  </w:style>
  <w:style w:type="character" w:styleId="1068" w:customStyle="1">
    <w:name w:val="批注文字 Char"/>
    <w:uiPriority w:val="0"/>
    <w:qFormat/>
    <w:rPr>
      <w:rFonts w:eastAsia="楷体_GB2312"/>
      <w:sz w:val="26"/>
    </w:rPr>
  </w:style>
  <w:style w:type="character" w:styleId="1069" w:customStyle="1">
    <w:name w:val="标题 Char2"/>
    <w:uiPriority w:val="0"/>
    <w:qFormat/>
    <w:rPr>
      <w:rFonts w:ascii="Cambria" w:hAnsi="Cambria" w:cs="Times New Roman"/>
      <w:b/>
      <w:bCs/>
      <w:sz w:val="32"/>
      <w:szCs w:val="32"/>
    </w:rPr>
  </w:style>
  <w:style w:type="character" w:styleId="1070" w:customStyle="1">
    <w:name w:val="Char Char5"/>
    <w:uiPriority w:val="0"/>
    <w:qFormat/>
    <w:rPr>
      <w:rFonts w:eastAsia="楷体_GB2312"/>
      <w:sz w:val="24"/>
    </w:rPr>
  </w:style>
  <w:style w:type="character" w:styleId="1071" w:customStyle="1">
    <w:name w:val="a-size-large1"/>
    <w:uiPriority w:val="0"/>
    <w:qFormat/>
    <w:rPr>
      <w:rFonts w:hint="default" w:ascii="Arial" w:hAnsi="Arial" w:cs="Arial"/>
    </w:rPr>
  </w:style>
  <w:style w:type="character" w:styleId="1072" w:customStyle="1">
    <w:name w:val="CL 正文1.25 Char"/>
    <w:link w:val="1073"/>
    <w:uiPriority w:val="0"/>
    <w:qFormat/>
    <w:rPr>
      <w:rFonts w:ascii="Cambria" w:hAnsi="Cambria"/>
      <w:spacing w:val="4"/>
      <w:sz w:val="24"/>
      <w:szCs w:val="21"/>
    </w:rPr>
  </w:style>
  <w:style w:type="paragraph" w:styleId="1073" w:customStyle="1">
    <w:name w:val="CL 正文1.25"/>
    <w:basedOn w:val="973"/>
    <w:link w:val="1072"/>
    <w:uiPriority w:val="0"/>
    <w:qFormat/>
    <w:pPr>
      <w:ind w:firstLine="200"/>
      <w:spacing w:line="360" w:lineRule="auto"/>
    </w:pPr>
    <w:rPr>
      <w:rFonts w:ascii="Cambria" w:hAnsi="Cambria"/>
      <w:spacing w:val="4"/>
      <w:sz w:val="24"/>
      <w:szCs w:val="21"/>
    </w:rPr>
  </w:style>
  <w:style w:type="character" w:styleId="1074" w:customStyle="1">
    <w:name w:val="正文文本缩进 2 Char"/>
    <w:uiPriority w:val="0"/>
    <w:qFormat/>
    <w:rPr>
      <w:rFonts w:ascii="宋体"/>
      <w:b/>
      <w:bCs/>
      <w:sz w:val="24"/>
    </w:rPr>
  </w:style>
  <w:style w:type="character" w:styleId="1075" w:customStyle="1">
    <w:name w:val="样式 首行缩进:  2 字符 Char"/>
    <w:link w:val="1076"/>
    <w:uiPriority w:val="0"/>
    <w:qFormat/>
    <w:rPr>
      <w:rFonts w:eastAsia="仿宋_GB2312"/>
      <w:sz w:val="24"/>
    </w:rPr>
  </w:style>
  <w:style w:type="paragraph" w:styleId="1076" w:customStyle="1">
    <w:name w:val="样式 首行缩进:  2 字符"/>
    <w:basedOn w:val="973"/>
    <w:link w:val="1075"/>
    <w:uiPriority w:val="0"/>
    <w:qFormat/>
    <w:pPr>
      <w:ind w:firstLine="560"/>
      <w:spacing w:line="360" w:lineRule="auto"/>
    </w:pPr>
    <w:rPr>
      <w:rFonts w:eastAsia="仿宋_GB2312"/>
      <w:sz w:val="24"/>
      <w:szCs w:val="20"/>
    </w:rPr>
  </w:style>
  <w:style w:type="character" w:styleId="1077" w:customStyle="1">
    <w:name w:val="正文缩进 Char2"/>
    <w:uiPriority w:val="0"/>
    <w:qFormat/>
    <w:rPr>
      <w:rFonts w:eastAsia="楷体_GB2312"/>
      <w:sz w:val="24"/>
      <w:lang w:val="en-US" w:eastAsia="zh-CN" w:bidi="ar-SA"/>
    </w:rPr>
  </w:style>
  <w:style w:type="character" w:styleId="1078" w:customStyle="1">
    <w:name w:val="列出段落 Char"/>
    <w:uiPriority w:val="34"/>
    <w:qFormat/>
    <w:rPr>
      <w:rFonts w:ascii="Calibri" w:hAnsi="Calibri" w:eastAsia="宋体"/>
      <w:sz w:val="22"/>
      <w:lang w:bidi="ar-SA"/>
    </w:rPr>
  </w:style>
  <w:style w:type="character" w:styleId="1079" w:customStyle="1">
    <w:name w:val="ca-221"/>
    <w:uiPriority w:val="0"/>
    <w:qFormat/>
    <w:rPr>
      <w:rFonts w:hint="eastAsia" w:ascii="宋体" w:hAnsi="宋体" w:eastAsia="宋体"/>
      <w:color w:val="ff0000"/>
      <w:sz w:val="24"/>
      <w:szCs w:val="24"/>
    </w:rPr>
  </w:style>
  <w:style w:type="character" w:styleId="1080" w:customStyle="1">
    <w:name w:val="纯文本 Char1"/>
    <w:uiPriority w:val="99"/>
    <w:qFormat/>
    <w:rPr>
      <w:rFonts w:ascii="宋体" w:hAnsi="Courier New" w:eastAsia="楷体_GB2312"/>
      <w:sz w:val="26"/>
      <w:szCs w:val="24"/>
    </w:rPr>
  </w:style>
  <w:style w:type="character" w:styleId="1081" w:customStyle="1">
    <w:name w:val="标题 Char"/>
    <w:uiPriority w:val="0"/>
    <w:qFormat/>
    <w:rPr>
      <w:rFonts w:ascii="Cambria" w:hAnsi="Cambria" w:cs="Times New Roman"/>
      <w:b/>
      <w:bCs/>
      <w:sz w:val="32"/>
      <w:szCs w:val="32"/>
    </w:rPr>
  </w:style>
  <w:style w:type="character" w:styleId="1082" w:customStyle="1">
    <w:name w:val="批注文字 字符"/>
    <w:uiPriority w:val="0"/>
    <w:qFormat/>
    <w:rPr>
      <w:sz w:val="21"/>
      <w:szCs w:val="24"/>
    </w:rPr>
  </w:style>
  <w:style w:type="character" w:styleId="1083" w:customStyle="1">
    <w:name w:val="para1"/>
    <w:uiPriority w:val="0"/>
    <w:qFormat/>
    <w:rPr>
      <w:rFonts w:hint="default" w:ascii="Arial" w:hAnsi="Arial" w:cs="Arial"/>
      <w:sz w:val="18"/>
      <w:szCs w:val="18"/>
    </w:rPr>
  </w:style>
  <w:style w:type="character" w:styleId="1084" w:customStyle="1">
    <w:name w:val="中等深浅网格 1 - 着色 2 字符"/>
    <w:link w:val="1085"/>
    <w:uiPriority w:val="34"/>
    <w:qFormat/>
    <w:rPr>
      <w:sz w:val="21"/>
      <w:szCs w:val="24"/>
    </w:rPr>
  </w:style>
  <w:style w:type="paragraph" w:styleId="1085" w:customStyle="1">
    <w:name w:val="中等深浅网格 1 - 着色 21"/>
    <w:basedOn w:val="973"/>
    <w:link w:val="1084"/>
    <w:uiPriority w:val="34"/>
    <w:qFormat/>
    <w:pPr>
      <w:ind w:firstLine="420"/>
      <w:jc w:val="left"/>
      <w:spacing w:line="360" w:lineRule="auto"/>
    </w:pPr>
  </w:style>
  <w:style w:type="character" w:styleId="1086" w:customStyle="1">
    <w:name w:val="title_emph1"/>
    <w:uiPriority w:val="0"/>
    <w:qFormat/>
    <w:rPr>
      <w:rFonts w:hint="default" w:ascii="Arial" w:hAnsi="Arial" w:cs="Arial"/>
      <w:b/>
      <w:bCs/>
      <w:sz w:val="20"/>
      <w:szCs w:val="20"/>
    </w:rPr>
  </w:style>
  <w:style w:type="character" w:styleId="1087" w:customStyle="1">
    <w:name w:val="正文文本 Char"/>
    <w:uiPriority w:val="0"/>
    <w:qFormat/>
    <w:rPr>
      <w:rFonts w:ascii="楷体_GB2312" w:eastAsia="楷体_GB2312"/>
      <w:sz w:val="28"/>
      <w:lang w:val="en-US" w:eastAsia="zh-CN" w:bidi="ar-SA"/>
    </w:rPr>
  </w:style>
  <w:style w:type="character" w:styleId="1088" w:customStyle="1">
    <w:name w:val="Char Char3"/>
    <w:uiPriority w:val="0"/>
    <w:qFormat/>
    <w:rPr>
      <w:sz w:val="21"/>
      <w:szCs w:val="24"/>
    </w:rPr>
  </w:style>
  <w:style w:type="character" w:styleId="1089" w:customStyle="1">
    <w:name w:val="Char Char2"/>
    <w:uiPriority w:val="0"/>
    <w:qFormat/>
    <w:rPr>
      <w:rFonts w:ascii="宋体" w:hAnsi="宋体" w:eastAsia="宋体"/>
      <w:sz w:val="21"/>
      <w:szCs w:val="24"/>
      <w:lang w:val="en-US" w:eastAsia="zh-CN" w:bidi="ar-SA"/>
    </w:rPr>
  </w:style>
  <w:style w:type="character" w:styleId="1090" w:customStyle="1">
    <w:name w:val="Plain Text Char"/>
    <w:link w:val="1091"/>
    <w:uiPriority w:val="0"/>
    <w:qFormat/>
    <w:rPr>
      <w:rFonts w:ascii="宋体" w:hAnsi="Courier New" w:eastAsia="楷体_GB2312"/>
      <w:sz w:val="26"/>
    </w:rPr>
  </w:style>
  <w:style w:type="paragraph" w:styleId="1091" w:customStyle="1">
    <w:name w:val="纯文本5"/>
    <w:basedOn w:val="973"/>
    <w:link w:val="1090"/>
    <w:uiPriority w:val="0"/>
    <w:qFormat/>
    <w:rPr>
      <w:rFonts w:ascii="宋体" w:hAnsi="Courier New" w:eastAsia="楷体_GB2312"/>
      <w:sz w:val="26"/>
      <w:szCs w:val="20"/>
    </w:rPr>
  </w:style>
  <w:style w:type="character" w:styleId="1092" w:customStyle="1">
    <w:name w:val="Andy_3级 Char"/>
    <w:link w:val="1093"/>
    <w:uiPriority w:val="0"/>
    <w:qFormat/>
    <w:rPr>
      <w:rFonts w:ascii="Calibri" w:hAnsi="Calibri"/>
      <w:sz w:val="24"/>
    </w:rPr>
  </w:style>
  <w:style w:type="paragraph" w:styleId="1093" w:customStyle="1">
    <w:name w:val="Andy_3级"/>
    <w:basedOn w:val="973"/>
    <w:link w:val="1092"/>
    <w:uiPriority w:val="0"/>
    <w:qFormat/>
    <w:pPr>
      <w:numPr>
        <w:ilvl w:val="2"/>
        <w:numId w:val="2"/>
      </w:numPr>
      <w:spacing w:line="360" w:lineRule="auto"/>
    </w:pPr>
    <w:rPr>
      <w:sz w:val="24"/>
      <w:szCs w:val="20"/>
    </w:rPr>
  </w:style>
  <w:style w:type="character" w:styleId="1094" w:customStyle="1">
    <w:name w:val="_正文段落 Char"/>
    <w:link w:val="1095"/>
    <w:uiPriority w:val="0"/>
    <w:qFormat/>
    <w:rPr>
      <w:sz w:val="24"/>
      <w:szCs w:val="24"/>
    </w:rPr>
  </w:style>
  <w:style w:type="paragraph" w:styleId="1095" w:customStyle="1">
    <w:name w:val="_正文段落"/>
    <w:basedOn w:val="973"/>
    <w:link w:val="1094"/>
    <w:uiPriority w:val="0"/>
    <w:qFormat/>
    <w:pPr>
      <w:ind w:firstLine="200"/>
      <w:spacing w:before="50" w:after="50" w:line="360" w:lineRule="auto"/>
    </w:pPr>
    <w:rPr>
      <w:sz w:val="24"/>
    </w:rPr>
  </w:style>
  <w:style w:type="character" w:styleId="1096" w:customStyle="1">
    <w:name w:val="正 文 1 Char"/>
    <w:uiPriority w:val="0"/>
    <w:qFormat/>
    <w:rPr>
      <w:rFonts w:ascii="宋体" w:hAnsi="Courier New" w:eastAsia="楷体_GB2312"/>
      <w:sz w:val="28"/>
      <w:lang w:val="en-US" w:eastAsia="zh-CN" w:bidi="ar-SA"/>
    </w:rPr>
  </w:style>
  <w:style w:type="character" w:styleId="1097" w:customStyle="1">
    <w:name w:val="Char Char7"/>
    <w:uiPriority w:val="0"/>
    <w:qFormat/>
    <w:rPr>
      <w:b/>
      <w:bCs/>
      <w:sz w:val="32"/>
      <w:szCs w:val="32"/>
    </w:rPr>
  </w:style>
  <w:style w:type="character" w:styleId="1098" w:customStyle="1">
    <w:name w:val="标题 1 字符"/>
    <w:uiPriority w:val="9"/>
    <w:qFormat/>
    <w:rPr>
      <w:rFonts w:eastAsia="楷体_GB2312"/>
      <w:b/>
      <w:sz w:val="44"/>
    </w:rPr>
  </w:style>
  <w:style w:type="character" w:styleId="1099" w:customStyle="1">
    <w:name w:val="正文首行缩进 Char Char"/>
    <w:link w:val="1100"/>
    <w:uiPriority w:val="0"/>
    <w:qFormat/>
    <w:rPr>
      <w:szCs w:val="24"/>
    </w:rPr>
  </w:style>
  <w:style w:type="paragraph" w:styleId="1100" w:customStyle="1">
    <w:name w:val="正文首行缩进1"/>
    <w:basedOn w:val="990"/>
    <w:link w:val="1099"/>
    <w:uiPriority w:val="0"/>
    <w:qFormat/>
    <w:pPr>
      <w:ind w:firstLine="420"/>
      <w:spacing w:after="120"/>
      <w:tabs>
        <w:tab w:val="clear" w:pos="5250" w:leader="none"/>
      </w:tabs>
    </w:pPr>
    <w:rPr>
      <w:sz w:val="20"/>
    </w:rPr>
  </w:style>
  <w:style w:type="character" w:styleId="1101" w:customStyle="1">
    <w:name w:val="Plain Text Char Char"/>
    <w:uiPriority w:val="0"/>
    <w:qFormat/>
    <w:rPr>
      <w:rFonts w:ascii="宋体" w:hAnsi="Courier New" w:eastAsia="楷体_GB2312"/>
      <w:sz w:val="28"/>
    </w:rPr>
  </w:style>
  <w:style w:type="character" w:styleId="1102" w:customStyle="1">
    <w:name w:val="Char Char6"/>
    <w:uiPriority w:val="0"/>
    <w:qFormat/>
    <w:rPr>
      <w:rFonts w:ascii="Arial" w:hAnsi="Arial" w:eastAsia="黑体"/>
      <w:b/>
      <w:bCs/>
      <w:sz w:val="28"/>
      <w:szCs w:val="28"/>
      <w:lang w:val="en-US" w:eastAsia="zh-CN" w:bidi="ar-SA"/>
    </w:rPr>
  </w:style>
  <w:style w:type="character" w:styleId="1103" w:customStyle="1">
    <w:name w:val="Andy_正文 Char"/>
    <w:link w:val="1104"/>
    <w:uiPriority w:val="0"/>
    <w:qFormat/>
    <w:rPr>
      <w:rFonts w:ascii="Calibri" w:hAnsi="Calibri"/>
      <w:sz w:val="24"/>
      <w:szCs w:val="24"/>
    </w:rPr>
  </w:style>
  <w:style w:type="paragraph" w:styleId="1104" w:customStyle="1">
    <w:name w:val="Andy_正文"/>
    <w:basedOn w:val="973"/>
    <w:link w:val="1103"/>
    <w:uiPriority w:val="0"/>
    <w:qFormat/>
    <w:pPr>
      <w:ind w:firstLine="480"/>
      <w:spacing w:line="360" w:lineRule="auto"/>
    </w:pPr>
    <w:rPr>
      <w:sz w:val="24"/>
    </w:rPr>
  </w:style>
  <w:style w:type="character" w:styleId="1105" w:customStyle="1">
    <w:name w:val="正文缩进 Char1"/>
    <w:uiPriority w:val="0"/>
    <w:qFormat/>
    <w:rPr>
      <w:rFonts w:ascii="Times New Roman" w:hAnsi="Times New Roman" w:eastAsia="楷体_GB2312" w:cs="Times New Roman"/>
      <w:sz w:val="24"/>
      <w:szCs w:val="20"/>
    </w:rPr>
  </w:style>
  <w:style w:type="paragraph" w:styleId="1106" w:customStyle="1">
    <w:name w:val="xl65"/>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7" w:customStyle="1">
    <w:name w:val="xl64"/>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08" w:customStyle="1">
    <w:name w:val="Char Char Char"/>
    <w:basedOn w:val="973"/>
    <w:uiPriority w:val="0"/>
    <w:qFormat/>
    <w:rPr>
      <w:rFonts w:ascii="Tahoma" w:hAnsi="Tahoma"/>
      <w:sz w:val="24"/>
      <w:szCs w:val="20"/>
    </w:rPr>
  </w:style>
  <w:style w:type="paragraph" w:styleId="1109" w:customStyle="1">
    <w:name w:val="xl53"/>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0" w:customStyle="1">
    <w:name w:val="表格正文 居中"/>
    <w:basedOn w:val="973"/>
    <w:uiPriority w:val="0"/>
    <w:qFormat/>
    <w:pPr>
      <w:jc w:val="center"/>
    </w:pPr>
    <w:rPr>
      <w:rFonts w:ascii="宋体" w:hAnsi="宋体" w:cs="宋体"/>
      <w:szCs w:val="20"/>
    </w:rPr>
  </w:style>
  <w:style w:type="paragraph" w:styleId="1111" w:customStyle="1">
    <w:name w:val="xl56"/>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2" w:customStyle="1">
    <w:name w:val="p17"/>
    <w:basedOn w:val="973"/>
    <w:uiPriority w:val="0"/>
    <w:qFormat/>
    <w:pPr>
      <w:ind w:firstLine="420"/>
    </w:pPr>
    <w:rPr>
      <w:rFonts w:ascii="Times New Roman" w:hAnsi="Times New Roman" w:cs="黑体"/>
      <w:b/>
      <w:bCs/>
      <w:sz w:val="28"/>
      <w:szCs w:val="28"/>
    </w:rPr>
  </w:style>
  <w:style w:type="paragraph" w:styleId="1113" w:customStyle="1">
    <w:name w:val="小四 段落 宋体 Char Char Char Char Char Char"/>
    <w:basedOn w:val="1114"/>
    <w:uiPriority w:val="0"/>
    <w:qFormat/>
    <w:pPr>
      <w:ind w:firstLine="480"/>
    </w:pPr>
    <w:rPr>
      <w:rFonts w:ascii="宋体" w:hAnsi="宋体"/>
    </w:rPr>
  </w:style>
  <w:style w:type="paragraph" w:styleId="1114" w:customStyle="1">
    <w:name w:val="小四 段落 宋体 Char Char Char Char Char Char Char"/>
    <w:basedOn w:val="993"/>
    <w:uiPriority w:val="0"/>
    <w:semiHidden/>
    <w:qFormat/>
    <w:pPr>
      <w:ind w:left="0" w:right="-33" w:firstLine="545"/>
      <w:jc w:val="left"/>
      <w:spacing w:line="360" w:lineRule="auto"/>
      <w:tabs>
        <w:tab w:val="clear" w:pos="1125" w:leader="none"/>
      </w:tabs>
    </w:pPr>
    <w:rPr>
      <w:sz w:val="24"/>
    </w:rPr>
  </w:style>
  <w:style w:type="paragraph" w:styleId="1115" w:customStyle="1">
    <w:name w:val="xl51"/>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16" w:customStyle="1">
    <w:name w:val="Char Char4 Char"/>
    <w:basedOn w:val="973"/>
    <w:uiPriority w:val="0"/>
    <w:qFormat/>
    <w:rPr>
      <w:rFonts w:ascii="Tahoma" w:hAnsi="Tahoma"/>
      <w:sz w:val="24"/>
      <w:szCs w:val="20"/>
    </w:rPr>
  </w:style>
  <w:style w:type="paragraph" w:styleId="1117" w:customStyle="1">
    <w:name w:val="Default Paragraph Font Para Char"/>
    <w:basedOn w:val="973"/>
    <w:uiPriority w:val="0"/>
    <w:semiHidden/>
    <w:qFormat/>
    <w:pPr>
      <w:jc w:val="left"/>
      <w:spacing w:after="160" w:line="240" w:lineRule="exact"/>
      <w:widowControl/>
    </w:pPr>
    <w:rPr>
      <w:rFonts w:ascii="Verdana" w:hAnsi="Verdana"/>
      <w:sz w:val="20"/>
      <w:szCs w:val="20"/>
      <w:lang w:eastAsia="en-US"/>
    </w:rPr>
  </w:style>
  <w:style w:type="paragraph" w:styleId="1118" w:customStyle="1">
    <w:name w:val="xl57"/>
    <w:basedOn w:val="9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9" w:customStyle="1">
    <w:name w:val="列出段落1"/>
    <w:basedOn w:val="973"/>
    <w:uiPriority w:val="0"/>
    <w:qFormat/>
    <w:pPr>
      <w:ind w:firstLine="200"/>
      <w:spacing w:line="360" w:lineRule="auto"/>
    </w:pPr>
    <w:rPr>
      <w:sz w:val="22"/>
      <w:szCs w:val="20"/>
    </w:rPr>
  </w:style>
  <w:style w:type="paragraph" w:styleId="1120" w:customStyle="1">
    <w:name w:val="Andy_一级"/>
    <w:basedOn w:val="973"/>
    <w:uiPriority w:val="0"/>
    <w:qFormat/>
    <w:pPr>
      <w:numPr>
        <w:ilvl w:val="0"/>
        <w:numId w:val="2"/>
      </w:numPr>
      <w:ind w:left="420" w:hanging="420"/>
      <w:keepNext/>
      <w:spacing w:line="360" w:lineRule="auto"/>
      <w:tabs>
        <w:tab w:val="left" w:pos="420" w:leader="none"/>
      </w:tabs>
    </w:pPr>
    <w:rPr>
      <w:b/>
      <w:sz w:val="24"/>
      <w:szCs w:val="22"/>
    </w:rPr>
  </w:style>
  <w:style w:type="paragraph" w:styleId="1121" w:customStyle="1">
    <w:name w:val="cardlist-value"/>
    <w:basedOn w:val="973"/>
    <w:uiPriority w:val="0"/>
    <w:qFormat/>
    <w:pPr>
      <w:jc w:val="left"/>
      <w:spacing w:before="100" w:beforeAutospacing="1" w:after="100" w:afterAutospacing="1"/>
      <w:widowControl/>
    </w:pPr>
    <w:rPr>
      <w:rFonts w:ascii="宋体" w:hAnsi="宋体" w:cs="宋体"/>
      <w:sz w:val="24"/>
    </w:rPr>
  </w:style>
  <w:style w:type="paragraph" w:styleId="1122" w:customStyle="1">
    <w:name w:val="Plain Text1"/>
    <w:basedOn w:val="973"/>
    <w:uiPriority w:val="0"/>
    <w:qFormat/>
    <w:rPr>
      <w:rFonts w:ascii="宋体" w:hAnsi="Courier New" w:eastAsia="楷体_GB2312"/>
      <w:sz w:val="26"/>
      <w:szCs w:val="20"/>
    </w:rPr>
  </w:style>
  <w:style w:type="paragraph" w:styleId="1123" w:customStyle="1">
    <w:name w:val="xl45"/>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4" w:customStyle="1">
    <w:name w:val="小四 段落 宋体 Char"/>
    <w:basedOn w:val="993"/>
    <w:uiPriority w:val="0"/>
    <w:qFormat/>
    <w:pPr>
      <w:ind w:left="0" w:right="-33" w:firstLine="480"/>
      <w:jc w:val="left"/>
      <w:spacing w:line="360" w:lineRule="auto"/>
      <w:tabs>
        <w:tab w:val="clear" w:pos="1125" w:leader="none"/>
      </w:tabs>
    </w:pPr>
    <w:rPr>
      <w:sz w:val="24"/>
    </w:rPr>
  </w:style>
  <w:style w:type="paragraph" w:styleId="1125" w:customStyle="1">
    <w:name w:val="表格1"/>
    <w:basedOn w:val="973"/>
    <w:next w:val="973"/>
    <w:uiPriority w:val="0"/>
    <w:qFormat/>
    <w:pPr>
      <w:jc w:val="center"/>
      <w:spacing w:line="288" w:lineRule="auto"/>
    </w:pPr>
    <w:rPr>
      <w:rFonts w:ascii="宋体"/>
      <w:sz w:val="18"/>
      <w:szCs w:val="20"/>
    </w:rPr>
  </w:style>
  <w:style w:type="paragraph" w:styleId="1126" w:customStyle="1">
    <w:name w:val="表格正文"/>
    <w:basedOn w:val="973"/>
    <w:uiPriority w:val="0"/>
    <w:qFormat/>
    <w:pPr>
      <w:jc w:val="left"/>
    </w:pPr>
    <w:rPr>
      <w:rFonts w:ascii="宋体" w:hAnsi="宋体" w:cs="宋体"/>
      <w:color w:val="000000"/>
      <w:sz w:val="22"/>
      <w:szCs w:val="20"/>
    </w:rPr>
  </w:style>
  <w:style w:type="paragraph" w:styleId="1127" w:customStyle="1">
    <w:name w:val="xl61"/>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28" w:customStyle="1">
    <w:name w:val="xl58"/>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9" w:customStyle="1">
    <w:name w:val="xl60"/>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0" w:customStyle="1">
    <w:name w:val="xl54"/>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1" w:customStyle="1">
    <w:name w:val="p0"/>
    <w:basedOn w:val="973"/>
    <w:uiPriority w:val="0"/>
    <w:qFormat/>
    <w:pPr>
      <w:widowControl/>
    </w:pPr>
    <w:rPr>
      <w:sz w:val="26"/>
      <w:szCs w:val="26"/>
    </w:rPr>
  </w:style>
  <w:style w:type="paragraph" w:styleId="1132" w:customStyle="1">
    <w:name w:val="xl50"/>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3" w:customStyle="1">
    <w:name w:val="Char Char Char1"/>
    <w:basedOn w:val="973"/>
    <w:uiPriority w:val="0"/>
    <w:qFormat/>
    <w:rPr>
      <w:rFonts w:ascii="Tahoma" w:hAnsi="Tahoma"/>
      <w:sz w:val="24"/>
      <w:szCs w:val="20"/>
    </w:rPr>
  </w:style>
  <w:style w:type="paragraph" w:styleId="1134" w:customStyle="1">
    <w:name w:val="纯文本3"/>
    <w:basedOn w:val="973"/>
    <w:uiPriority w:val="0"/>
    <w:qFormat/>
    <w:rPr>
      <w:rFonts w:ascii="宋体" w:hAnsi="Courier New" w:eastAsia="楷体_GB2312"/>
      <w:sz w:val="26"/>
      <w:szCs w:val="20"/>
    </w:rPr>
  </w:style>
  <w:style w:type="paragraph" w:styleId="1135" w:customStyle="1">
    <w:name w:val="Andy_4级"/>
    <w:basedOn w:val="973"/>
    <w:uiPriority w:val="0"/>
    <w:qFormat/>
    <w:pPr>
      <w:numPr>
        <w:ilvl w:val="3"/>
        <w:numId w:val="2"/>
      </w:numPr>
      <w:ind w:left="420" w:firstLine="510"/>
      <w:spacing w:line="360" w:lineRule="auto"/>
      <w:tabs>
        <w:tab w:val="left" w:pos="420" w:leader="none"/>
      </w:tabs>
    </w:pPr>
    <w:rPr>
      <w:sz w:val="24"/>
      <w:szCs w:val="20"/>
    </w:rPr>
  </w:style>
  <w:style w:type="paragraph" w:styleId="1136" w:customStyle="1">
    <w:name w:val="xl62"/>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7" w:customStyle="1">
    <w:name w:val="font6"/>
    <w:basedOn w:val="973"/>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138" w:customStyle="1">
    <w:name w:val="QB正文"/>
    <w:basedOn w:val="973"/>
    <w:uiPriority w:val="0"/>
    <w:qFormat/>
    <w:pPr>
      <w:ind w:firstLine="200"/>
      <w:widowControl/>
    </w:pPr>
    <w:rPr>
      <w:rFonts w:ascii="宋体" w:hAnsi="宋体"/>
      <w:szCs w:val="20"/>
    </w:rPr>
  </w:style>
  <w:style w:type="paragraph" w:styleId="1139" w:customStyle="1">
    <w:name w:val="列表内容"/>
    <w:basedOn w:val="973"/>
    <w:next w:val="973"/>
    <w:uiPriority w:val="0"/>
    <w:qFormat/>
    <w:pPr>
      <w:numPr>
        <w:ilvl w:val="0"/>
        <w:numId w:val="3"/>
      </w:numPr>
      <w:jc w:val="left"/>
      <w:widowControl/>
    </w:pPr>
    <w:rPr>
      <w:sz w:val="18"/>
    </w:rPr>
  </w:style>
  <w:style w:type="paragraph" w:styleId="1140" w:customStyle="1">
    <w:name w:val="font5"/>
    <w:basedOn w:val="973"/>
    <w:uiPriority w:val="0"/>
    <w:qFormat/>
    <w:pPr>
      <w:jc w:val="left"/>
      <w:spacing w:before="100" w:beforeAutospacing="1" w:after="100" w:afterAutospacing="1"/>
      <w:widowControl/>
    </w:pPr>
    <w:rPr>
      <w:rFonts w:hint="eastAsia" w:ascii="宋体" w:hAnsi="宋体"/>
      <w:sz w:val="18"/>
      <w:szCs w:val="18"/>
    </w:rPr>
  </w:style>
  <w:style w:type="paragraph" w:styleId="1141" w:customStyle="1">
    <w:name w:val="xl46"/>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2" w:customStyle="1">
    <w:name w:val="xl66"/>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3" w:customStyle="1">
    <w:name w:val="_Style 18"/>
    <w:basedOn w:val="973"/>
    <w:uiPriority w:val="0"/>
    <w:qFormat/>
    <w:rPr>
      <w:rFonts w:ascii="Tahoma" w:hAnsi="Tahoma"/>
      <w:sz w:val="24"/>
      <w:szCs w:val="20"/>
    </w:rPr>
  </w:style>
  <w:style w:type="paragraph" w:styleId="1144" w:customStyle="1">
    <w:name w:val="正文 A"/>
    <w:next w:val="1040"/>
    <w:uiPriority w:val="0"/>
    <w:qFormat/>
    <w:pPr>
      <w:jc w:val="both"/>
      <w:widowControl w:val="off"/>
      <w:pBdr>
        <w:top w:val="none" w:color="FFFFFF" w:sz="0" w:space="31"/>
        <w:left w:val="none" w:color="FFFFFF" w:sz="0" w:space="31"/>
        <w:bottom w:val="none" w:color="FFFFFF" w:sz="0" w:space="31"/>
        <w:right w:val="none" w:color="FFFFFF" w:sz="0" w:space="31"/>
      </w:pBdr>
    </w:pPr>
    <w:rPr>
      <w:rFonts w:ascii="Cambria" w:hAnsi="Cambria" w:eastAsia="宋体" w:cs="Times New Roman"/>
      <w:color w:val="000000"/>
      <w:sz w:val="26"/>
      <w:szCs w:val="26"/>
      <w:lang w:val="en-US" w:eastAsia="zh-CN" w:bidi="ar-SA"/>
    </w:rPr>
  </w:style>
  <w:style w:type="paragraph" w:styleId="1145" w:customStyle="1">
    <w:name w:val="规范正文"/>
    <w:basedOn w:val="973"/>
    <w:uiPriority w:val="0"/>
    <w:qFormat/>
    <w:pPr>
      <w:ind w:left="480"/>
      <w:spacing w:line="360" w:lineRule="auto"/>
    </w:pPr>
    <w:rPr>
      <w:sz w:val="24"/>
      <w:szCs w:val="20"/>
    </w:rPr>
  </w:style>
  <w:style w:type="paragraph" w:styleId="1146" w:customStyle="1">
    <w:name w:val="正文1"/>
    <w:basedOn w:val="973"/>
    <w:uiPriority w:val="0"/>
    <w:qFormat/>
    <w:pPr>
      <w:contextualSpacing/>
      <w:ind w:firstLine="200"/>
      <w:jc w:val="left"/>
      <w:spacing w:before="120" w:after="120"/>
      <w:widowControl/>
    </w:pPr>
    <w:rPr>
      <w:rFonts w:eastAsia="Adobe 仿宋 Std R"/>
      <w:sz w:val="24"/>
      <w:szCs w:val="21"/>
    </w:rPr>
  </w:style>
  <w:style w:type="paragraph" w:styleId="1147" w:customStyle="1">
    <w:name w:val="纯文本2"/>
    <w:basedOn w:val="973"/>
    <w:uiPriority w:val="0"/>
    <w:qFormat/>
    <w:rPr>
      <w:rFonts w:ascii="宋体" w:hAnsi="Courier New" w:eastAsia="楷体_GB2312"/>
      <w:sz w:val="26"/>
      <w:szCs w:val="20"/>
    </w:rPr>
  </w:style>
  <w:style w:type="paragraph" w:styleId="1148" w:customStyle="1">
    <w:name w:val="xl55"/>
    <w:basedOn w:val="9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9" w:customStyle="1">
    <w:name w:val="Char Char Char Char Char Char Char Char Char1 Char"/>
    <w:basedOn w:val="996"/>
    <w:uiPriority w:val="0"/>
    <w:qFormat/>
    <w:pPr>
      <w:spacing w:line="360" w:lineRule="auto"/>
    </w:pPr>
  </w:style>
  <w:style w:type="paragraph" w:styleId="1150" w:customStyle="1">
    <w:name w:val="Char Char Char Char Char Char Char Char"/>
    <w:basedOn w:val="973"/>
    <w:uiPriority w:val="0"/>
    <w:qFormat/>
  </w:style>
  <w:style w:type="paragraph" w:styleId="1151" w:customStyle="1">
    <w:name w:val="xl59"/>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2" w:customStyle="1">
    <w:name w:val="Char"/>
    <w:basedOn w:val="973"/>
    <w:uiPriority w:val="0"/>
    <w:qFormat/>
    <w:pPr>
      <w:numPr>
        <w:ilvl w:val="0"/>
        <w:numId w:val="4"/>
      </w:numPr>
      <w:ind w:left="960"/>
      <w:tabs>
        <w:tab w:val="clear" w:pos="420" w:leader="none"/>
        <w:tab w:val="left" w:pos="960" w:leader="none"/>
      </w:tabs>
    </w:pPr>
    <w:rPr>
      <w:sz w:val="24"/>
    </w:rPr>
  </w:style>
  <w:style w:type="paragraph" w:styleId="1153" w:customStyle="1">
    <w:name w:val="默认段落字体 Para Char Char Char Char Char Char Char"/>
    <w:basedOn w:val="973"/>
    <w:uiPriority w:val="0"/>
    <w:qFormat/>
    <w:pPr>
      <w:spacing w:line="360" w:lineRule="auto"/>
    </w:pPr>
    <w:rPr>
      <w:rFonts w:ascii="Tahoma" w:hAnsi="Tahoma"/>
      <w:sz w:val="24"/>
      <w:szCs w:val="20"/>
    </w:rPr>
  </w:style>
  <w:style w:type="paragraph" w:styleId="1154" w:customStyle="1">
    <w:name w:val="Char Char Char1 Char Char Char Char"/>
    <w:basedOn w:val="973"/>
    <w:uiPriority w:val="0"/>
    <w:qFormat/>
    <w:pPr>
      <w:jc w:val="left"/>
      <w:spacing w:after="160" w:line="240" w:lineRule="exact"/>
      <w:widowControl/>
    </w:pPr>
    <w:rPr>
      <w:sz w:val="24"/>
    </w:rPr>
  </w:style>
  <w:style w:type="paragraph" w:styleId="1155" w:customStyle="1">
    <w:name w:val="font7"/>
    <w:basedOn w:val="973"/>
    <w:uiPriority w:val="0"/>
    <w:qFormat/>
    <w:pPr>
      <w:jc w:val="left"/>
      <w:spacing w:before="100" w:beforeAutospacing="1" w:after="100" w:afterAutospacing="1"/>
      <w:widowControl/>
    </w:pPr>
    <w:rPr>
      <w:sz w:val="20"/>
      <w:szCs w:val="20"/>
    </w:rPr>
  </w:style>
  <w:style w:type="paragraph" w:styleId="1156" w:customStyle="1">
    <w:name w:val="xl48"/>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7" w:customStyle="1">
    <w:name w:val="xl63"/>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8" w:customStyle="1">
    <w:name w:val="Char Char1"/>
    <w:basedOn w:val="973"/>
    <w:uiPriority w:val="0"/>
    <w:qFormat/>
    <w:pPr>
      <w:jc w:val="left"/>
      <w:spacing w:after="160" w:line="240" w:lineRule="exact"/>
      <w:widowControl/>
    </w:pPr>
    <w:rPr>
      <w:rFonts w:ascii="Verdana" w:hAnsi="Verdana"/>
      <w:sz w:val="20"/>
      <w:szCs w:val="20"/>
      <w:lang w:eastAsia="en-US"/>
    </w:rPr>
  </w:style>
  <w:style w:type="paragraph" w:styleId="1159" w:customStyle="1">
    <w:name w:val="List Paragraph1"/>
    <w:basedOn w:val="973"/>
    <w:uiPriority w:val="0"/>
    <w:qFormat/>
    <w:pPr>
      <w:ind w:firstLine="420"/>
    </w:pPr>
    <w:rPr>
      <w:szCs w:val="20"/>
    </w:rPr>
  </w:style>
  <w:style w:type="paragraph" w:styleId="1160">
    <w:name w:val="List Paragraph"/>
    <w:basedOn w:val="973"/>
    <w:link w:val="1189"/>
    <w:uiPriority w:val="0"/>
    <w:qFormat/>
    <w:pPr>
      <w:ind w:firstLine="420"/>
    </w:pPr>
    <w:rPr>
      <w:szCs w:val="20"/>
    </w:rPr>
  </w:style>
  <w:style w:type="paragraph" w:styleId="1161" w:customStyle="1">
    <w:name w:val="Char1"/>
    <w:basedOn w:val="973"/>
    <w:uiPriority w:val="0"/>
    <w:qFormat/>
    <w:rPr>
      <w:rFonts w:ascii="Tahoma" w:hAnsi="Tahoma"/>
      <w:sz w:val="24"/>
      <w:szCs w:val="20"/>
    </w:rPr>
  </w:style>
  <w:style w:type="paragraph" w:styleId="1162" w:customStyle="1">
    <w:name w:val="Char Char3 Char Char Char Char Char Char Char Char Char Char Char Char Char Char Char Char"/>
    <w:basedOn w:val="973"/>
    <w:uiPriority w:val="0"/>
    <w:qFormat/>
    <w:pPr>
      <w:ind w:firstLine="200"/>
      <w:jc w:val="left"/>
      <w:spacing w:after="160" w:line="360" w:lineRule="auto"/>
      <w:widowControl/>
    </w:pPr>
    <w:rPr>
      <w:rFonts w:ascii="宋体" w:hAnsi="宋体"/>
      <w:sz w:val="24"/>
      <w:szCs w:val="20"/>
    </w:rPr>
  </w:style>
  <w:style w:type="paragraph" w:styleId="1163" w:customStyle="1">
    <w:name w:val="纯文本1"/>
    <w:basedOn w:val="973"/>
    <w:uiPriority w:val="0"/>
    <w:qFormat/>
    <w:pPr>
      <w:jc w:val="left"/>
      <w:widowControl/>
    </w:pPr>
    <w:rPr>
      <w:rFonts w:ascii="宋体" w:hAnsi="Courier New" w:eastAsia="楷体_GB2312"/>
      <w:sz w:val="26"/>
      <w:szCs w:val="20"/>
    </w:rPr>
  </w:style>
  <w:style w:type="paragraph" w:styleId="1164" w:customStyle="1">
    <w:name w:val="xl49"/>
    <w:basedOn w:val="97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65" w:customStyle="1">
    <w:name w:val="xl52"/>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6" w:customStyle="1">
    <w:name w:val="表格标题"/>
    <w:basedOn w:val="973"/>
    <w:uiPriority w:val="0"/>
    <w:qFormat/>
    <w:pPr>
      <w:jc w:val="center"/>
    </w:pPr>
    <w:rPr>
      <w:rFonts w:ascii="宋体" w:hAnsi="宋体" w:cs="宋体"/>
      <w:b/>
      <w:bCs/>
      <w:szCs w:val="20"/>
    </w:rPr>
  </w:style>
  <w:style w:type="paragraph" w:styleId="1167" w:customStyle="1">
    <w:name w:val="xl47"/>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68" w:customStyle="1">
    <w:name w:val="纯文本4"/>
    <w:basedOn w:val="973"/>
    <w:uiPriority w:val="0"/>
    <w:qFormat/>
    <w:rPr>
      <w:rFonts w:ascii="宋体" w:hAnsi="Courier New" w:eastAsia="楷体_GB2312"/>
      <w:sz w:val="28"/>
      <w:szCs w:val="20"/>
    </w:rPr>
  </w:style>
  <w:style w:type="paragraph" w:styleId="1169" w:customStyle="1">
    <w:name w:val="Char Char4 Char Char"/>
    <w:basedOn w:val="973"/>
    <w:uiPriority w:val="0"/>
    <w:qFormat/>
    <w:rPr>
      <w:rFonts w:ascii="Tahoma" w:hAnsi="Tahoma"/>
      <w:sz w:val="24"/>
      <w:szCs w:val="20"/>
    </w:rPr>
  </w:style>
  <w:style w:type="character" w:styleId="1170" w:customStyle="1">
    <w:name w:val="font41"/>
    <w:basedOn w:val="983"/>
    <w:uiPriority w:val="0"/>
    <w:qFormat/>
    <w:rPr>
      <w:rFonts w:ascii="Arial" w:hAnsi="Arial" w:cs="Arial"/>
      <w:b/>
      <w:bCs/>
      <w:color w:val="000000"/>
      <w:sz w:val="28"/>
      <w:szCs w:val="28"/>
      <w:u w:val="none"/>
    </w:rPr>
  </w:style>
  <w:style w:type="character" w:styleId="1171" w:customStyle="1">
    <w:name w:val="font11"/>
    <w:basedOn w:val="983"/>
    <w:uiPriority w:val="0"/>
    <w:qFormat/>
    <w:rPr>
      <w:rFonts w:hint="eastAsia" w:ascii="宋体" w:hAnsi="宋体" w:eastAsia="宋体" w:cs="宋体"/>
      <w:b/>
      <w:bCs/>
      <w:color w:val="000000"/>
      <w:sz w:val="28"/>
      <w:szCs w:val="28"/>
      <w:u w:val="none"/>
    </w:rPr>
  </w:style>
  <w:style w:type="character" w:styleId="1172" w:customStyle="1">
    <w:name w:val="表格 Char Char"/>
    <w:link w:val="1173"/>
    <w:uiPriority w:val="0"/>
    <w:qFormat/>
    <w:rPr>
      <w:rFonts w:ascii="宋体" w:hAnsi="宋体"/>
    </w:rPr>
  </w:style>
  <w:style w:type="paragraph" w:styleId="1173" w:customStyle="1">
    <w:name w:val="表格"/>
    <w:basedOn w:val="973"/>
    <w:link w:val="1172"/>
    <w:uiPriority w:val="0"/>
    <w:qFormat/>
    <w:rPr>
      <w:rFonts w:ascii="宋体" w:hAnsi="宋体"/>
      <w:sz w:val="20"/>
      <w:szCs w:val="20"/>
    </w:rPr>
  </w:style>
  <w:style w:type="character" w:styleId="1174" w:customStyle="1">
    <w:name w:val="标题三自定义 Char"/>
    <w:link w:val="1175"/>
    <w:uiPriority w:val="99"/>
    <w:qFormat/>
    <w:rPr>
      <w:rFonts w:ascii="Calibri" w:hAnsi="Calibri"/>
      <w:sz w:val="21"/>
      <w:szCs w:val="22"/>
    </w:rPr>
  </w:style>
  <w:style w:type="paragraph" w:styleId="1175" w:customStyle="1">
    <w:name w:val="标题三自定义"/>
    <w:basedOn w:val="973"/>
    <w:link w:val="1174"/>
    <w:uiPriority w:val="99"/>
    <w:qFormat/>
    <w:pPr>
      <w:ind w:left="5670" w:hanging="709"/>
      <w:tabs>
        <w:tab w:val="left" w:pos="5812" w:leader="none"/>
      </w:tabs>
    </w:pPr>
    <w:rPr>
      <w:szCs w:val="22"/>
    </w:rPr>
  </w:style>
  <w:style w:type="character" w:styleId="1176" w:customStyle="1">
    <w:name w:val="页脚 字符"/>
    <w:link w:val="1009"/>
    <w:uiPriority w:val="99"/>
    <w:qFormat/>
    <w:rPr>
      <w:rFonts w:ascii="Calibri" w:hAnsi="Calibri"/>
      <w:sz w:val="18"/>
      <w:szCs w:val="18"/>
    </w:rPr>
  </w:style>
  <w:style w:type="character" w:styleId="1177" w:customStyle="1">
    <w:name w:val="普通文字1 Char"/>
    <w:uiPriority w:val="0"/>
    <w:qFormat/>
    <w:rPr>
      <w:rFonts w:ascii="宋体" w:hAnsi="Courier New" w:eastAsia="宋体"/>
      <w:sz w:val="21"/>
      <w:szCs w:val="21"/>
      <w:lang w:val="en-US" w:eastAsia="zh-CN" w:bidi="ar-SA"/>
    </w:rPr>
  </w:style>
  <w:style w:type="character" w:styleId="1178" w:customStyle="1">
    <w:name w:val="Table Text Char1"/>
    <w:link w:val="1179"/>
    <w:uiPriority w:val="0"/>
    <w:qFormat/>
    <w:rPr>
      <w:rFonts w:ascii="Arial" w:hAnsi="Arial"/>
      <w:sz w:val="18"/>
      <w:szCs w:val="24"/>
    </w:rPr>
  </w:style>
  <w:style w:type="paragraph" w:styleId="1179" w:customStyle="1">
    <w:name w:val="Table Text"/>
    <w:basedOn w:val="973"/>
    <w:link w:val="1178"/>
    <w:uiPriority w:val="0"/>
    <w:qFormat/>
    <w:pPr>
      <w:spacing w:before="80" w:after="80"/>
      <w:widowControl/>
      <w:tabs>
        <w:tab w:val="decimal" w:pos="0" w:leader="none"/>
      </w:tabs>
    </w:pPr>
    <w:rPr>
      <w:rFonts w:ascii="Arial" w:hAnsi="Arial"/>
      <w:sz w:val="18"/>
    </w:rPr>
  </w:style>
  <w:style w:type="character" w:styleId="1180" w:customStyle="1">
    <w:name w:val="style591"/>
    <w:uiPriority w:val="0"/>
    <w:qFormat/>
    <w:rPr>
      <w:rFonts w:hint="default" w:ascii="Arial" w:hAnsi="Arial" w:cs="Arial"/>
      <w:sz w:val="21"/>
      <w:szCs w:val="21"/>
      <w:u w:val="none"/>
    </w:rPr>
  </w:style>
  <w:style w:type="character" w:styleId="1181" w:customStyle="1">
    <w:name w:val="标题二自定义 Char"/>
    <w:link w:val="1182"/>
    <w:uiPriority w:val="99"/>
    <w:qFormat/>
    <w:rPr>
      <w:rFonts w:ascii="宋体" w:hAnsi="宋体"/>
      <w:bCs/>
      <w:sz w:val="21"/>
      <w:szCs w:val="21"/>
    </w:rPr>
  </w:style>
  <w:style w:type="paragraph" w:styleId="1182" w:customStyle="1">
    <w:name w:val="标题二自定义"/>
    <w:basedOn w:val="975"/>
    <w:next w:val="973"/>
    <w:link w:val="1181"/>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183" w:customStyle="1">
    <w:name w:val="批注主题 字符"/>
    <w:link w:val="986"/>
    <w:uiPriority w:val="99"/>
    <w:qFormat/>
    <w:rPr>
      <w:rFonts w:ascii="Calibri" w:hAnsi="Calibri"/>
      <w:b/>
      <w:bCs/>
      <w:sz w:val="21"/>
      <w:szCs w:val="24"/>
    </w:rPr>
  </w:style>
  <w:style w:type="character" w:styleId="1184" w:customStyle="1">
    <w:name w:val="标题 3 字符"/>
    <w:link w:val="976"/>
    <w:uiPriority w:val="9"/>
    <w:qFormat/>
    <w:rPr>
      <w:rFonts w:ascii="Calibri" w:hAnsi="Calibri"/>
      <w:b/>
      <w:bCs/>
      <w:sz w:val="32"/>
      <w:szCs w:val="32"/>
    </w:rPr>
  </w:style>
  <w:style w:type="character" w:styleId="1185" w:customStyle="1">
    <w:name w:val="p141"/>
    <w:uiPriority w:val="0"/>
    <w:qFormat/>
    <w:rPr>
      <w:color w:val="000000"/>
      <w:sz w:val="28"/>
      <w:szCs w:val="28"/>
      <w:u w:val="none"/>
    </w:rPr>
  </w:style>
  <w:style w:type="character" w:styleId="1186" w:customStyle="1">
    <w:name w:val="lh151"/>
    <w:uiPriority w:val="0"/>
    <w:qFormat/>
    <w:rPr>
      <w:color w:val="666666"/>
    </w:rPr>
  </w:style>
  <w:style w:type="character" w:styleId="1187" w:customStyle="1">
    <w:name w:val="页眉 字符"/>
    <w:link w:val="1012"/>
    <w:uiPriority w:val="99"/>
    <w:qFormat/>
    <w:rPr>
      <w:rFonts w:ascii="Calibri" w:hAnsi="Calibri"/>
      <w:sz w:val="18"/>
      <w:szCs w:val="18"/>
    </w:rPr>
  </w:style>
  <w:style w:type="character" w:styleId="1188" w:customStyle="1">
    <w:name w:val="批注框文本 字符"/>
    <w:link w:val="1008"/>
    <w:uiPriority w:val="99"/>
    <w:qFormat/>
    <w:rPr>
      <w:rFonts w:ascii="Calibri" w:hAnsi="Calibri"/>
      <w:sz w:val="18"/>
      <w:szCs w:val="18"/>
    </w:rPr>
  </w:style>
  <w:style w:type="character" w:styleId="1189" w:customStyle="1">
    <w:name w:val="列表段落 字符"/>
    <w:link w:val="1160"/>
    <w:uiPriority w:val="0"/>
    <w:qFormat/>
    <w:rPr>
      <w:rFonts w:ascii="Calibri" w:hAnsi="Calibri"/>
      <w:sz w:val="21"/>
    </w:rPr>
  </w:style>
  <w:style w:type="character" w:styleId="1190" w:customStyle="1">
    <w:name w:val="my正文 Char"/>
    <w:link w:val="1191"/>
    <w:uiPriority w:val="0"/>
    <w:qFormat/>
    <w:rPr>
      <w:sz w:val="24"/>
    </w:rPr>
  </w:style>
  <w:style w:type="paragraph" w:styleId="1191" w:customStyle="1">
    <w:name w:val="my正文"/>
    <w:basedOn w:val="973"/>
    <w:link w:val="1190"/>
    <w:uiPriority w:val="0"/>
    <w:qFormat/>
    <w:pPr>
      <w:ind w:firstLine="480"/>
      <w:spacing w:line="360" w:lineRule="auto"/>
    </w:pPr>
    <w:rPr>
      <w:rFonts w:ascii="Times New Roman" w:hAnsi="Times New Roman"/>
      <w:sz w:val="24"/>
      <w:szCs w:val="20"/>
    </w:rPr>
  </w:style>
  <w:style w:type="character" w:styleId="1192" w:customStyle="1">
    <w:name w:val="已访问的超链接1"/>
    <w:uiPriority w:val="99"/>
    <w:qFormat/>
    <w:rPr>
      <w:color w:val="999999"/>
      <w:u w:val="none"/>
    </w:rPr>
  </w:style>
  <w:style w:type="character" w:styleId="1193" w:customStyle="1">
    <w:name w:val="font31"/>
    <w:uiPriority w:val="0"/>
    <w:qFormat/>
    <w:rPr>
      <w:rFonts w:hint="default" w:ascii="Times New Roman" w:hAnsi="Times New Roman" w:cs="Times New Roman"/>
      <w:color w:val="000000"/>
      <w:sz w:val="21"/>
      <w:szCs w:val="21"/>
      <w:u w:val="none"/>
    </w:rPr>
  </w:style>
  <w:style w:type="character" w:styleId="1194" w:customStyle="1">
    <w:name w:val="font21"/>
    <w:uiPriority w:val="0"/>
    <w:qFormat/>
    <w:rPr>
      <w:rFonts w:hint="eastAsia" w:ascii="宋体" w:hAnsi="宋体" w:eastAsia="宋体" w:cs="宋体"/>
      <w:b/>
      <w:color w:val="000000"/>
      <w:sz w:val="21"/>
      <w:szCs w:val="21"/>
      <w:u w:val="none"/>
    </w:rPr>
  </w:style>
  <w:style w:type="character" w:styleId="1195" w:customStyle="1">
    <w:name w:val="Normal Indent Char"/>
    <w:uiPriority w:val="0"/>
    <w:qFormat/>
    <w:rPr>
      <w:rFonts w:ascii="Times New Roman" w:hAnsi="Times New Roman" w:eastAsia="楷体_GB2312" w:cs="Times New Roman"/>
      <w:sz w:val="20"/>
      <w:szCs w:val="20"/>
    </w:rPr>
  </w:style>
  <w:style w:type="paragraph" w:styleId="1196" w:customStyle="1">
    <w:name w:val="xl531"/>
    <w:basedOn w:val="97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97" w:customStyle="1">
    <w:name w:val="a"/>
    <w:basedOn w:val="973"/>
    <w:uiPriority w:val="0"/>
    <w:qFormat/>
    <w:pPr>
      <w:jc w:val="left"/>
      <w:spacing w:before="100" w:beforeAutospacing="1" w:after="100" w:afterAutospacing="1"/>
      <w:widowControl/>
    </w:pPr>
    <w:rPr>
      <w:rFonts w:ascii="宋体" w:hAnsi="宋体" w:cs="宋体"/>
    </w:rPr>
  </w:style>
  <w:style w:type="paragraph" w:styleId="1198" w:customStyle="1">
    <w:name w:val="xl68"/>
    <w:basedOn w:val="9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99" w:customStyle="1">
    <w:name w:val="正文2"/>
    <w:basedOn w:val="973"/>
    <w:uiPriority w:val="0"/>
    <w:qFormat/>
    <w:pPr>
      <w:ind w:firstLine="200"/>
      <w:jc w:val="left"/>
      <w:spacing w:after="160" w:line="360" w:lineRule="auto"/>
      <w:widowControl/>
    </w:pPr>
    <w:rPr>
      <w:rFonts w:ascii="Verdana" w:hAnsi="Verdana" w:eastAsia="黑体"/>
      <w:szCs w:val="20"/>
      <w:lang w:eastAsia="en-US"/>
    </w:rPr>
  </w:style>
  <w:style w:type="paragraph" w:styleId="1200" w:customStyle="1">
    <w:name w:val="xl510"/>
    <w:basedOn w:val="973"/>
    <w:uiPriority w:val="0"/>
    <w:qFormat/>
    <w:pPr>
      <w:jc w:val="center"/>
      <w:spacing w:before="100" w:beforeAutospacing="1" w:after="100" w:afterAutospacing="1"/>
      <w:shd w:val="clear" w:color="000000" w:fill="ffff00"/>
      <w:widowControl/>
    </w:pPr>
    <w:rPr>
      <w:rFonts w:ascii="宋体" w:hAnsi="宋体" w:cs="宋体"/>
      <w:color w:val="000000"/>
    </w:rPr>
  </w:style>
  <w:style w:type="paragraph" w:styleId="1201" w:customStyle="1">
    <w:name w:val="xl516"/>
    <w:basedOn w:val="973"/>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202" w:customStyle="1">
    <w:name w:val="afont"/>
    <w:basedOn w:val="973"/>
    <w:uiPriority w:val="0"/>
    <w:qFormat/>
    <w:pPr>
      <w:jc w:val="left"/>
      <w:spacing w:before="100" w:after="100" w:line="285" w:lineRule="atLeast"/>
      <w:widowControl/>
    </w:pPr>
    <w:rPr>
      <w:rFonts w:ascii="宋体" w:hAnsi="宋体"/>
      <w:sz w:val="18"/>
      <w:szCs w:val="20"/>
    </w:rPr>
  </w:style>
  <w:style w:type="paragraph" w:styleId="1203" w:customStyle="1">
    <w:name w:val="xl513"/>
    <w:basedOn w:val="973"/>
    <w:uiPriority w:val="0"/>
    <w:qFormat/>
    <w:pPr>
      <w:jc w:val="left"/>
      <w:spacing w:before="100" w:beforeAutospacing="1" w:after="100" w:afterAutospacing="1"/>
      <w:shd w:val="clear" w:color="000000" w:fill="ffffff"/>
      <w:widowControl/>
    </w:pPr>
    <w:rPr>
      <w:rFonts w:ascii="宋体" w:hAnsi="宋体" w:cs="宋体"/>
    </w:rPr>
  </w:style>
  <w:style w:type="paragraph" w:styleId="1204" w:customStyle="1">
    <w:name w:val="xl70"/>
    <w:basedOn w:val="97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205" w:customStyle="1">
    <w:name w:val="xl69"/>
    <w:basedOn w:val="9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206" w:customStyle="1">
    <w:name w:val="xl517"/>
    <w:basedOn w:val="973"/>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07" w:customStyle="1">
    <w:name w:val="财政-标题一"/>
    <w:basedOn w:val="973"/>
    <w:uiPriority w:val="0"/>
    <w:qFormat/>
    <w:pPr>
      <w:outlineLvl w:val="0"/>
    </w:pPr>
    <w:rPr>
      <w:rFonts w:eastAsia="华文中宋"/>
      <w:b/>
      <w:sz w:val="44"/>
      <w:szCs w:val="21"/>
    </w:rPr>
  </w:style>
  <w:style w:type="paragraph" w:styleId="1208" w:customStyle="1">
    <w:name w:val="1"/>
    <w:basedOn w:val="973"/>
    <w:uiPriority w:val="0"/>
    <w:qFormat/>
    <w:pPr>
      <w:ind w:left="432" w:hanging="432"/>
      <w:tabs>
        <w:tab w:val="left" w:pos="432" w:leader="none"/>
        <w:tab w:val="left" w:pos="1545" w:leader="none"/>
      </w:tabs>
    </w:pPr>
    <w:rPr>
      <w:rFonts w:ascii="宋体" w:hAnsi="宋体"/>
    </w:rPr>
  </w:style>
  <w:style w:type="paragraph" w:styleId="1209" w:customStyle="1">
    <w:name w:val="表格表头"/>
    <w:basedOn w:val="973"/>
    <w:uiPriority w:val="0"/>
    <w:qFormat/>
    <w:pPr>
      <w:jc w:val="center"/>
      <w:spacing w:line="360" w:lineRule="auto"/>
      <w:outlineLvl w:val="0"/>
    </w:pPr>
    <w:rPr>
      <w:rFonts w:ascii="宋体" w:hAnsi="宋体" w:eastAsia="黑体" w:cs="宋体"/>
      <w:szCs w:val="21"/>
    </w:rPr>
  </w:style>
  <w:style w:type="paragraph" w:styleId="1210" w:customStyle="1">
    <w:name w:val="表格文字"/>
    <w:basedOn w:val="1211"/>
    <w:uiPriority w:val="0"/>
    <w:qFormat/>
    <w:rPr>
      <w:rFonts w:ascii="Times New Roman" w:hAnsi="Times New Roman"/>
    </w:rPr>
  </w:style>
  <w:style w:type="paragraph" w:styleId="1211" w:customStyle="1">
    <w:name w:val="表格文字（两侧对齐）"/>
    <w:basedOn w:val="973"/>
    <w:uiPriority w:val="0"/>
    <w:qFormat/>
    <w:pPr>
      <w:jc w:val="left"/>
    </w:pPr>
    <w:rPr>
      <w:sz w:val="20"/>
    </w:rPr>
  </w:style>
  <w:style w:type="paragraph" w:styleId="1212" w:customStyle="1">
    <w:name w:val="xl539"/>
    <w:basedOn w:val="9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3" w:customStyle="1">
    <w:name w:val="xl73"/>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214" w:customStyle="1">
    <w:name w:val="标题五自定义"/>
    <w:basedOn w:val="973"/>
    <w:uiPriority w:val="0"/>
    <w:qFormat/>
    <w:pPr>
      <w:ind w:left="1985" w:hanging="992"/>
      <w:tabs>
        <w:tab w:val="left" w:pos="1985" w:leader="none"/>
      </w:tabs>
    </w:pPr>
    <w:rPr>
      <w:szCs w:val="22"/>
    </w:rPr>
  </w:style>
  <w:style w:type="paragraph" w:styleId="1215" w:customStyle="1">
    <w:name w:val="xl67"/>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6" w:customStyle="1">
    <w:name w:val="xl532"/>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17" w:customStyle="1">
    <w:name w:val="财政-标题三"/>
    <w:basedOn w:val="1218"/>
    <w:uiPriority w:val="0"/>
    <w:qFormat/>
    <w:pPr>
      <w:outlineLvl w:val="2"/>
    </w:pPr>
    <w:rPr>
      <w:sz w:val="32"/>
    </w:rPr>
  </w:style>
  <w:style w:type="paragraph" w:styleId="1218" w:customStyle="1">
    <w:name w:val="财政-标题二"/>
    <w:basedOn w:val="1207"/>
    <w:uiPriority w:val="0"/>
    <w:qFormat/>
    <w:pPr>
      <w:outlineLvl w:val="1"/>
    </w:pPr>
    <w:rPr>
      <w:sz w:val="36"/>
    </w:rPr>
  </w:style>
  <w:style w:type="paragraph" w:styleId="1219" w:customStyle="1">
    <w:name w:val="Char1 Char Char Char"/>
    <w:basedOn w:val="973"/>
    <w:uiPriority w:val="0"/>
    <w:qFormat/>
    <w:pPr>
      <w:ind w:left="840" w:hanging="420"/>
      <w:tabs>
        <w:tab w:val="left" w:pos="840" w:leader="none"/>
      </w:tabs>
    </w:pPr>
    <w:rPr>
      <w:rFonts w:ascii="Times New Roman" w:hAnsi="Times New Roman"/>
    </w:rPr>
  </w:style>
  <w:style w:type="paragraph" w:styleId="1220" w:customStyle="1">
    <w:name w:val="xl534"/>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21" w:customStyle="1">
    <w:name w:val="正文段"/>
    <w:basedOn w:val="973"/>
    <w:uiPriority w:val="0"/>
    <w:qFormat/>
    <w:pPr>
      <w:ind w:firstLine="454"/>
      <w:spacing w:after="240" w:line="240" w:lineRule="atLeast"/>
      <w:widowControl/>
    </w:pPr>
    <w:rPr>
      <w:rFonts w:ascii="宋体" w:hAnsi="Times New Roman"/>
      <w:szCs w:val="20"/>
    </w:rPr>
  </w:style>
  <w:style w:type="paragraph" w:styleId="1222" w:customStyle="1">
    <w:name w:val="_Style 72"/>
    <w:next w:val="973"/>
    <w:uiPriority w:val="99"/>
    <w:qFormat/>
    <w:pPr>
      <w:jc w:val="both"/>
      <w:widowControl w:val="off"/>
    </w:pPr>
    <w:rPr>
      <w:rFonts w:ascii="宋体" w:hAnsi="宋体" w:eastAsia="宋体" w:cs="Times New Roman"/>
      <w:sz w:val="24"/>
      <w:szCs w:val="24"/>
      <w:lang w:val="en-US" w:eastAsia="zh-CN" w:bidi="ar-SA"/>
    </w:rPr>
  </w:style>
  <w:style w:type="paragraph" w:styleId="1223" w:customStyle="1">
    <w:name w:val="Normal_541"/>
    <w:next w:val="973"/>
    <w:uiPriority w:val="0"/>
    <w:qFormat/>
    <w:pPr>
      <w:jc w:val="both"/>
      <w:widowControl w:val="off"/>
    </w:pPr>
    <w:rPr>
      <w:rFonts w:ascii="Times New Roman" w:hAnsi="Times New Roman" w:eastAsia="宋体" w:cs="Times New Roman"/>
      <w:sz w:val="21"/>
      <w:szCs w:val="21"/>
      <w:lang w:val="en-US" w:eastAsia="zh-CN" w:bidi="ar-SA"/>
    </w:rPr>
  </w:style>
  <w:style w:type="paragraph" w:styleId="1224" w:customStyle="1">
    <w:name w:val="xl522"/>
    <w:basedOn w:val="9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25" w:customStyle="1">
    <w:name w:val="xl541"/>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6" w:customStyle="1">
    <w:name w:val="xl537"/>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7" w:customStyle="1">
    <w:name w:val="xl512"/>
    <w:basedOn w:val="973"/>
    <w:uiPriority w:val="0"/>
    <w:qFormat/>
    <w:pPr>
      <w:jc w:val="center"/>
      <w:spacing w:before="100" w:beforeAutospacing="1" w:after="100" w:afterAutospacing="1"/>
      <w:widowControl/>
    </w:pPr>
    <w:rPr>
      <w:rFonts w:ascii="宋体" w:hAnsi="宋体" w:cs="宋体"/>
      <w:color w:val="000000"/>
    </w:rPr>
  </w:style>
  <w:style w:type="paragraph" w:styleId="1228" w:customStyle="1">
    <w:name w:val="xl71"/>
    <w:basedOn w:val="97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229" w:customStyle="1">
    <w:name w:val="xl509"/>
    <w:basedOn w:val="973"/>
    <w:uiPriority w:val="0"/>
    <w:qFormat/>
    <w:pPr>
      <w:jc w:val="center"/>
      <w:spacing w:before="100" w:beforeAutospacing="1" w:after="100" w:afterAutospacing="1"/>
      <w:shd w:val="clear" w:color="000000" w:fill="ffffff"/>
      <w:widowControl/>
    </w:pPr>
    <w:rPr>
      <w:rFonts w:ascii="宋体" w:hAnsi="宋体" w:cs="宋体"/>
      <w:color w:val="000000"/>
    </w:rPr>
  </w:style>
  <w:style w:type="paragraph" w:styleId="1230" w:customStyle="1">
    <w:name w:val="xl528"/>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31" w:customStyle="1">
    <w:name w:val="xl529"/>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32" w:customStyle="1">
    <w:name w:val="xl523"/>
    <w:basedOn w:val="97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33" w:customStyle="1">
    <w:name w:val="标题一自定义"/>
    <w:basedOn w:val="974"/>
    <w:next w:val="973"/>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234" w:customStyle="1">
    <w:name w:val="TOC 标题1"/>
    <w:basedOn w:val="974"/>
    <w:next w:val="973"/>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235" w:customStyle="1">
    <w:name w:val="xl538"/>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36" w:customStyle="1">
    <w:name w:val="xl527"/>
    <w:basedOn w:val="973"/>
    <w:uiPriority w:val="0"/>
    <w:qFormat/>
    <w:pPr>
      <w:spacing w:before="100" w:beforeAutospacing="1" w:after="100" w:afterAutospacing="1"/>
      <w:widowControl/>
    </w:pPr>
    <w:rPr>
      <w:rFonts w:ascii="宋体" w:hAnsi="宋体" w:cs="宋体"/>
      <w:color w:val="ff0000"/>
    </w:rPr>
  </w:style>
  <w:style w:type="paragraph" w:styleId="1237" w:customStyle="1">
    <w:name w:val="Plain Text*"/>
    <w:basedOn w:val="973"/>
    <w:uiPriority w:val="6"/>
    <w:qFormat/>
    <w:pPr>
      <w:jc w:val="left"/>
      <w:widowControl/>
    </w:pPr>
    <w:rPr>
      <w:rFonts w:ascii="宋体" w:hAnsi="宋体" w:eastAsia="楷体_GB2312" w:cs="Courier New"/>
      <w:sz w:val="26"/>
      <w:szCs w:val="20"/>
      <w:lang w:val="zh-CN"/>
    </w:rPr>
  </w:style>
  <w:style w:type="paragraph" w:styleId="1238" w:customStyle="1">
    <w:name w:val="xl511"/>
    <w:basedOn w:val="973"/>
    <w:uiPriority w:val="0"/>
    <w:qFormat/>
    <w:pPr>
      <w:jc w:val="center"/>
      <w:spacing w:before="100" w:beforeAutospacing="1" w:after="100" w:afterAutospacing="1"/>
      <w:widowControl/>
    </w:pPr>
    <w:rPr>
      <w:rFonts w:ascii="宋体" w:hAnsi="宋体" w:cs="宋体"/>
      <w:color w:val="ff0000"/>
    </w:rPr>
  </w:style>
  <w:style w:type="paragraph" w:styleId="1239" w:customStyle="1">
    <w:name w:val="列出段落3"/>
    <w:basedOn w:val="973"/>
    <w:uiPriority w:val="0"/>
    <w:qFormat/>
    <w:pPr>
      <w:ind w:firstLine="420"/>
    </w:pPr>
    <w:rPr>
      <w:rFonts w:ascii="Times New Roman" w:hAnsi="Times New Roman" w:eastAsia="文鼎CS仿宋体"/>
      <w:spacing w:val="-4"/>
      <w:sz w:val="32"/>
    </w:rPr>
  </w:style>
  <w:style w:type="paragraph" w:styleId="1240" w:customStyle="1">
    <w:name w:val="列出段落2"/>
    <w:basedOn w:val="973"/>
    <w:uiPriority w:val="0"/>
    <w:qFormat/>
    <w:pPr>
      <w:ind w:firstLine="420"/>
    </w:pPr>
    <w:rPr>
      <w:rFonts w:ascii="宋体" w:hAnsi="宋体"/>
    </w:rPr>
  </w:style>
  <w:style w:type="paragraph" w:styleId="1241" w:customStyle="1">
    <w:name w:val="Table Paragraph"/>
    <w:basedOn w:val="973"/>
    <w:uiPriority w:val="1"/>
    <w:qFormat/>
    <w:rPr>
      <w:rFonts w:ascii="宋体" w:hAnsi="宋体"/>
    </w:rPr>
  </w:style>
  <w:style w:type="paragraph" w:styleId="1242" w:customStyle="1">
    <w:name w:val="xl519"/>
    <w:basedOn w:val="9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3" w:customStyle="1">
    <w:name w:val="xl524"/>
    <w:basedOn w:val="97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4" w:customStyle="1">
    <w:name w:val="标题四自定义"/>
    <w:basedOn w:val="973"/>
    <w:uiPriority w:val="99"/>
    <w:qFormat/>
    <w:pPr>
      <w:ind w:left="738" w:hanging="738"/>
      <w:tabs>
        <w:tab w:val="left" w:pos="1134" w:leader="none"/>
      </w:tabs>
    </w:pPr>
    <w:rPr>
      <w:szCs w:val="22"/>
    </w:rPr>
  </w:style>
  <w:style w:type="paragraph" w:styleId="1245" w:customStyle="1">
    <w:name w:val="font8"/>
    <w:basedOn w:val="973"/>
    <w:uiPriority w:val="0"/>
    <w:qFormat/>
    <w:pPr>
      <w:jc w:val="left"/>
      <w:spacing w:before="100" w:beforeAutospacing="1" w:after="100" w:afterAutospacing="1"/>
      <w:widowControl/>
    </w:pPr>
    <w:rPr>
      <w:rFonts w:ascii="宋体" w:hAnsi="宋体" w:cs="宋体"/>
      <w:sz w:val="18"/>
      <w:szCs w:val="18"/>
    </w:rPr>
  </w:style>
  <w:style w:type="paragraph" w:styleId="1246" w:customStyle="1">
    <w:name w:val="Item Step"/>
    <w:basedOn w:val="973"/>
    <w:uiPriority w:val="0"/>
    <w:qFormat/>
    <w:pPr>
      <w:ind w:left="1701" w:hanging="567"/>
      <w:jc w:val="left"/>
      <w:widowControl/>
      <w:tabs>
        <w:tab w:val="left" w:pos="1440" w:leader="none"/>
      </w:tabs>
    </w:pPr>
    <w:rPr>
      <w:rFonts w:ascii="Times New Roman" w:hAnsi="Times New Roman"/>
    </w:rPr>
  </w:style>
  <w:style w:type="paragraph" w:styleId="1247" w:customStyle="1">
    <w:name w:val="大标题"/>
    <w:basedOn w:val="973"/>
    <w:uiPriority w:val="0"/>
    <w:qFormat/>
    <w:pPr>
      <w:jc w:val="center"/>
    </w:pPr>
    <w:rPr>
      <w:rFonts w:ascii="Times New Roman" w:hAnsi="Times New Roman" w:eastAsia="黑体" w:cs="宋体"/>
      <w:sz w:val="44"/>
      <w:szCs w:val="20"/>
    </w:rPr>
  </w:style>
  <w:style w:type="paragraph" w:styleId="1248" w:customStyle="1">
    <w:name w:val="xl75"/>
    <w:basedOn w:val="973"/>
    <w:uiPriority w:val="0"/>
    <w:qFormat/>
    <w:pPr>
      <w:jc w:val="center"/>
      <w:spacing w:before="100" w:beforeAutospacing="1" w:after="100" w:afterAutospacing="1"/>
      <w:widowControl/>
    </w:pPr>
    <w:rPr>
      <w:rFonts w:ascii="Times New Roman" w:hAnsi="Times New Roman"/>
      <w:szCs w:val="21"/>
    </w:rPr>
  </w:style>
  <w:style w:type="paragraph" w:styleId="1249" w:customStyle="1">
    <w:name w:val="投标文件正文"/>
    <w:basedOn w:val="973"/>
    <w:uiPriority w:val="0"/>
    <w:qFormat/>
    <w:pPr>
      <w:ind w:firstLine="560"/>
      <w:spacing w:line="440" w:lineRule="exact"/>
    </w:pPr>
    <w:rPr>
      <w:rFonts w:ascii="仿宋_GB2312" w:hAnsi="Times New Roman" w:eastAsia="仿宋_GB2312"/>
      <w:bCs/>
      <w:sz w:val="28"/>
      <w:szCs w:val="28"/>
    </w:rPr>
  </w:style>
  <w:style w:type="paragraph" w:styleId="1250" w:customStyle="1">
    <w:name w:val="样式1"/>
    <w:basedOn w:val="974"/>
    <w:uiPriority w:val="0"/>
    <w:qFormat/>
    <w:pPr>
      <w:jc w:val="center"/>
      <w:spacing w:before="120" w:after="120" w:line="480" w:lineRule="auto"/>
    </w:pPr>
    <w:rPr>
      <w:rFonts w:ascii="Times New Roman" w:hAnsi="Times New Roman" w:eastAsia="黑体"/>
      <w:b w:val="0"/>
      <w:iCs/>
      <w:sz w:val="32"/>
      <w:szCs w:val="32"/>
    </w:rPr>
  </w:style>
  <w:style w:type="paragraph" w:styleId="1251" w:customStyle="1">
    <w:name w:val="xl530"/>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52" w:customStyle="1">
    <w:name w:val="财政-标题四"/>
    <w:basedOn w:val="1217"/>
    <w:uiPriority w:val="0"/>
    <w:qFormat/>
    <w:pPr>
      <w:outlineLvl w:val="3"/>
    </w:pPr>
    <w:rPr>
      <w:sz w:val="30"/>
    </w:rPr>
  </w:style>
  <w:style w:type="paragraph" w:styleId="1253" w:customStyle="1">
    <w:name w:val="xl521"/>
    <w:basedOn w:val="9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54" w:customStyle="1">
    <w:name w:val="xl536"/>
    <w:basedOn w:val="97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55" w:customStyle="1">
    <w:name w:val="xl525"/>
    <w:basedOn w:val="973"/>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56" w:customStyle="1">
    <w:name w:val="列出段落4"/>
    <w:basedOn w:val="973"/>
    <w:uiPriority w:val="0"/>
    <w:qFormat/>
    <w:pPr>
      <w:ind w:firstLine="420"/>
      <w:spacing w:line="360" w:lineRule="auto"/>
    </w:pPr>
    <w:rPr>
      <w:rFonts w:ascii="Times New Roman" w:hAnsi="Times New Roman"/>
      <w:szCs w:val="22"/>
    </w:rPr>
  </w:style>
  <w:style w:type="paragraph" w:styleId="1257" w:customStyle="1">
    <w:name w:val="xl74"/>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58" w:customStyle="1">
    <w:name w:val="xl526"/>
    <w:basedOn w:val="97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59" w:customStyle="1">
    <w:name w:val="正文 New"/>
    <w:uiPriority w:val="0"/>
    <w:qFormat/>
    <w:pPr>
      <w:jc w:val="both"/>
      <w:widowControl w:val="off"/>
    </w:pPr>
    <w:rPr>
      <w:rFonts w:ascii="Cambria" w:hAnsi="Cambria" w:eastAsia="宋体" w:cs="Times New Roman"/>
      <w:sz w:val="21"/>
      <w:szCs w:val="24"/>
      <w:lang w:val="en-US" w:eastAsia="zh-CN" w:bidi="ar-SA"/>
    </w:rPr>
  </w:style>
  <w:style w:type="paragraph" w:styleId="1260" w:customStyle="1">
    <w:name w:val="三级标题3"/>
    <w:basedOn w:val="976"/>
    <w:uiPriority w:val="0"/>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261" w:customStyle="1">
    <w:name w:val="手册正文"/>
    <w:basedOn w:val="973"/>
    <w:uiPriority w:val="0"/>
    <w:qFormat/>
    <w:pPr>
      <w:ind w:firstLine="200"/>
      <w:spacing w:line="500" w:lineRule="exact"/>
    </w:pPr>
    <w:rPr>
      <w:rFonts w:ascii="Arial" w:hAnsi="Arial"/>
      <w:szCs w:val="20"/>
    </w:rPr>
  </w:style>
  <w:style w:type="paragraph" w:styleId="1262" w:customStyle="1">
    <w:name w:val="xl518"/>
    <w:basedOn w:val="973"/>
    <w:uiPriority w:val="0"/>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263" w:customStyle="1">
    <w:name w:val="纯文本11"/>
    <w:basedOn w:val="973"/>
    <w:uiPriority w:val="0"/>
    <w:qFormat/>
    <w:rPr>
      <w:rFonts w:ascii="宋体" w:hAnsi="Courier New" w:eastAsia="楷体_GB2312"/>
      <w:sz w:val="28"/>
      <w:szCs w:val="20"/>
    </w:rPr>
  </w:style>
  <w:style w:type="paragraph" w:styleId="1264" w:customStyle="1">
    <w:name w:val="Bullet"/>
    <w:basedOn w:val="973"/>
    <w:uiPriority w:val="0"/>
    <w:qFormat/>
    <w:pPr>
      <w:ind w:firstLine="420"/>
      <w:spacing w:before="60" w:after="60" w:line="288" w:lineRule="auto"/>
      <w:widowControl/>
    </w:pPr>
    <w:rPr>
      <w:rFonts w:ascii="宋体" w:hAnsi="宋体"/>
      <w:bCs/>
      <w:szCs w:val="21"/>
    </w:rPr>
  </w:style>
  <w:style w:type="paragraph" w:styleId="1265" w:customStyle="1">
    <w:name w:val="xl535"/>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66" w:customStyle="1">
    <w:name w:val="zhengwen3"/>
    <w:basedOn w:val="1199"/>
    <w:uiPriority w:val="0"/>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267" w:customStyle="1">
    <w:name w:val="xl514"/>
    <w:basedOn w:val="973"/>
    <w:uiPriority w:val="0"/>
    <w:qFormat/>
    <w:pPr>
      <w:jc w:val="left"/>
      <w:spacing w:before="100" w:beforeAutospacing="1" w:after="100" w:afterAutospacing="1"/>
      <w:shd w:val="clear" w:color="000000" w:fill="ffffff"/>
      <w:widowControl/>
    </w:pPr>
    <w:rPr>
      <w:rFonts w:ascii="宋体" w:hAnsi="宋体" w:cs="宋体"/>
    </w:rPr>
  </w:style>
  <w:style w:type="paragraph" w:styleId="1268" w:customStyle="1">
    <w:name w:val="xl72"/>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269" w:customStyle="1">
    <w:name w:val="xl520"/>
    <w:basedOn w:val="97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70">
    <w:name w:val="No Spacing"/>
    <w:basedOn w:val="973"/>
    <w:uiPriority w:val="1"/>
    <w:qFormat/>
    <w:pPr>
      <w:jc w:val="left"/>
      <w:widowControl/>
    </w:pPr>
    <w:rPr>
      <w:sz w:val="24"/>
      <w:szCs w:val="32"/>
      <w:lang w:eastAsia="en-US" w:bidi="en-US"/>
    </w:rPr>
  </w:style>
  <w:style w:type="paragraph" w:styleId="1271" w:customStyle="1">
    <w:name w:val="Javis"/>
    <w:basedOn w:val="973"/>
    <w:uiPriority w:val="0"/>
    <w:qFormat/>
    <w:pPr>
      <w:ind w:left="15" w:right="15" w:firstLine="480"/>
      <w:spacing w:line="360" w:lineRule="auto"/>
    </w:pPr>
    <w:rPr>
      <w:rFonts w:ascii="Times New Roman" w:hAnsi="Times New Roman" w:cs="宋体"/>
      <w:szCs w:val="20"/>
    </w:rPr>
  </w:style>
  <w:style w:type="paragraph" w:styleId="1272" w:customStyle="1">
    <w:name w:val="样式 正文文本缩进 2 + Times New Roman 首行缩进:  1.06 厘米 行距: 固定值 30 磅"/>
    <w:basedOn w:val="1007"/>
    <w:uiPriority w:val="0"/>
    <w:qFormat/>
    <w:pPr>
      <w:ind w:left="0" w:firstLine="601"/>
      <w:spacing w:line="540" w:lineRule="exact"/>
      <w:tabs>
        <w:tab w:val="clear" w:pos="630" w:leader="none"/>
      </w:tabs>
    </w:pPr>
    <w:rPr>
      <w:rFonts w:ascii="Times New Roman" w:hAnsi="Times New Roman"/>
      <w:sz w:val="28"/>
      <w:szCs w:val="28"/>
    </w:rPr>
  </w:style>
  <w:style w:type="paragraph" w:styleId="1273" w:customStyle="1">
    <w:name w:val="xl515"/>
    <w:basedOn w:val="97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274" w:customStyle="1">
    <w:name w:val="列出段落111"/>
    <w:basedOn w:val="973"/>
    <w:uiPriority w:val="0"/>
    <w:qFormat/>
    <w:pPr>
      <w:ind w:firstLine="420"/>
    </w:pPr>
    <w:rPr>
      <w:szCs w:val="20"/>
    </w:rPr>
  </w:style>
  <w:style w:type="paragraph" w:styleId="1275" w:customStyle="1">
    <w:name w:val="xl540"/>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76" w:customStyle="1">
    <w:name w:val="p25"/>
    <w:basedOn w:val="973"/>
    <w:uiPriority w:val="0"/>
    <w:qFormat/>
    <w:pPr>
      <w:jc w:val="left"/>
      <w:widowControl/>
    </w:pPr>
    <w:rPr>
      <w:rFonts w:ascii="黑体" w:hAnsi="黑体" w:eastAsia="黑体" w:cs="黑体"/>
      <w:sz w:val="26"/>
      <w:szCs w:val="26"/>
    </w:rPr>
  </w:style>
  <w:style w:type="paragraph" w:styleId="1277" w:customStyle="1">
    <w:name w:val="xl533"/>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78" w:customStyle="1">
    <w:name w:val="一级条标题"/>
    <w:basedOn w:val="973"/>
    <w:next w:val="1040"/>
    <w:uiPriority w:val="0"/>
    <w:qFormat/>
    <w:pPr>
      <w:ind w:left="420"/>
      <w:widowControl/>
      <w:outlineLvl w:val="2"/>
    </w:pPr>
    <w:rPr>
      <w:rFonts w:ascii="黑体" w:hAnsi="Calibri" w:eastAsia="黑体" w:cs="黑体"/>
      <w:szCs w:val="21"/>
    </w:rPr>
  </w:style>
  <w:style w:type="paragraph" w:styleId="1279" w:customStyle="1">
    <w:name w:val="文本块1"/>
    <w:basedOn w:val="973"/>
    <w:uiPriority w:val="0"/>
    <w:qFormat/>
    <w:pPr>
      <w:ind w:left="420" w:right="-294"/>
      <w:spacing w:line="320" w:lineRule="exact"/>
      <w:tabs>
        <w:tab w:val="left" w:pos="405" w:leader="none"/>
      </w:tabs>
    </w:pPr>
    <w:rPr>
      <w:rFonts w:ascii="宋体"/>
      <w:sz w:val="24"/>
    </w:rPr>
  </w:style>
  <w:style w:type="numbering" w:styleId="12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金健</cp:lastModifiedBy>
  <cp:revision>7</cp:revision>
  <dcterms:created xsi:type="dcterms:W3CDTF">2024-09-20T08:39:00Z</dcterms:created>
  <dcterms:modified xsi:type="dcterms:W3CDTF">2026-04-16T06:25:03Z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303620B71B3E44EFA4B4A0DDD2F362FB_13</vt:lpwstr>
  </property>
  <property fmtid="{D5CDD505-2E9C-101B-9397-08002B2CF9AE}" pid="4" name="KSOTemplateDocerSaveRecord">
    <vt:lpwstr>eyJoZGlkIjoiMmE2YTE0MmNlYjZhMWU1MjU5ZTQ3NzgxNTBjYTVmMGQiLCJ1c2VySWQiOiIxMDA3NzM3NjU3In0=</vt:lpwstr>
  </property>
</Properties>
</file>